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2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220"/>
        <w:gridCol w:w="777"/>
        <w:gridCol w:w="322"/>
        <w:gridCol w:w="741"/>
        <w:gridCol w:w="1200"/>
        <w:gridCol w:w="2066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206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及2022年度考核结果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1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426" w:hanging="420" w:hanging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1、此表请于2023年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日之前，</w:t>
      </w:r>
      <w:r>
        <w:fldChar w:fldCharType="begin"/>
      </w:r>
      <w:r>
        <w:instrText xml:space="preserve"> HYPERLINK "mailto:以电子邮件方式发给我们gxcdc2008@sina.com"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发邮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箱gxcdcrsk@wsjkw.gxzf.gov.cn。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31882017"/>
    <w:rsid w:val="318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2023-12-21T01:23:00Z</dcterms:created>
  <dc:creator>粗尾鸭</dc:creator>
  <cp:lastModifiedBy>粗尾鸭</cp:lastModifiedBy>
  <dcterms:modified xsi:type="dcterms:W3CDTF">2023-12-21T01:23:20Z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C2C1995E41F443A4B08623014A472AAB_11</vt:lpwstr>
  </property>
</Properties>
</file>