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四川省作家协会直属事业单位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年考核招聘工作人员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岗位和条件要求一览表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shd w:val="pct10" w:color="auto" w:fill="FFFFFF"/>
        </w:rPr>
      </w:pPr>
    </w:p>
    <w:tbl>
      <w:tblPr>
        <w:tblStyle w:val="3"/>
        <w:tblW w:w="13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04"/>
        <w:gridCol w:w="1671"/>
        <w:gridCol w:w="927"/>
        <w:gridCol w:w="850"/>
        <w:gridCol w:w="1559"/>
        <w:gridCol w:w="2145"/>
        <w:gridCol w:w="1978"/>
        <w:gridCol w:w="140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招聘单位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范围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其他条件要求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岗位类别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岗位名称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及编码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职称资格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highlight w:val="none"/>
              </w:rPr>
              <w:t>专业条件要求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巴金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文学院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技术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文创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20230101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198</w:t>
            </w: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1月1日及以后出生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二级文学创作、一级文学创作、二级艺术研究、一级艺术研究。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本科及以上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学历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方正仿宋简体" w:cs="Times New Roman"/>
          <w:sz w:val="24"/>
          <w:szCs w:val="24"/>
          <w:highlight w:val="none"/>
          <w:lang w:val="en-US" w:eastAsia="zh-CN"/>
        </w:rPr>
        <w:t>注：①“年龄”栏中，具备正高级职称的报考者，可放宽至1981年1月1日及以后出生；②“职称资格”栏中4个高级职称，满足其一即视作满足条件；③“学历学位”栏中，学历、学位无专业限制，满足既有学历、又有学位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  <w:sectPr>
          <w:pgSz w:w="16840" w:h="11907" w:orient="landscape"/>
          <w:pgMar w:top="1984" w:right="1474" w:bottom="1984" w:left="1587" w:header="851" w:footer="1247" w:gutter="0"/>
          <w:pgNumType w:fmt="decimal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2683384"/>
    <w:rsid w:val="326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2023-10-23T03:03:00Z</dcterms:created>
  <dc:creator>Primadonna</dc:creator>
  <cp:lastModifiedBy>Primadonna</cp:lastModifiedBy>
  <dcterms:modified xsi:type="dcterms:W3CDTF">2023-10-23T03:04:17Z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4DA6CDE2F69642089D8C059899E1C90B_11</vt:lpwstr>
  </property>
</Properties>
</file>