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2023年国家级新疆准东经济技术开发区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引进研究生公告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为进一步优化准东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开发区干部人才队伍结构，加大高层次人才引进力度，结合昌吉州“千名硕士进昌吉”引才政策的落实和“人才强准”战略实施，经研究，决定面向全国引进研究生。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现将有关事宜公告如下：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引进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具有普通高等院校硕士研究生及以上学历，并取得硕士及以上学位应、往届毕业生。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引进条件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（一）具有中华人民共和国国籍，拥护中国共产党的领导，品行端正，具有良好的职业道德，反对民族分裂和非法宗教活动，无违法违纪情况；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（二）2023年应届毕业生须在2023年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1日前取得学历学位证书，届时未取得学历学位的取消录用资格。其他人员须在2023年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lang w:val="en-US" w:eastAsia="zh-CN"/>
        </w:rPr>
        <w:t>日前取得学历学位证书;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（三）硕士研究生年龄在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周岁以下，即198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  <w:highlight w:val="none"/>
          <w:lang w:val="en-US" w:eastAsia="zh-CN"/>
        </w:rPr>
        <w:t>日以后出生;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）学生干部、学生党员、国家“双一流”建设高校（学科）毕业生优先；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）具有正常履行职责的身体条件；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）符合引进职位要求的其他资格条件。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下列人员不属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应聘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范围：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6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受过刑事处罚人员、受党纪政纪处分尚在处分期内人员、有违法违纪正在接受组织调查的人员;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）立案审查尚未作出结论的;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）曾被开除党籍、公职的;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6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6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6"/>
          <w:sz w:val="32"/>
          <w:szCs w:val="32"/>
          <w:shd w:val="clear" w:color="auto" w:fill="FFFFFF"/>
        </w:rPr>
        <w:t>）在机关事业单位招考中有徇私舞弊、弄虚作假等行为的;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）法律法规规定不得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录用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其他情形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2B2B2B"/>
          <w:spacing w:val="0"/>
          <w:sz w:val="32"/>
          <w:szCs w:val="32"/>
          <w:shd w:val="clear" w:color="auto" w:fill="FFFFFF"/>
        </w:rPr>
        <w:t>、引进需求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  <w:lang w:eastAsia="zh-CN"/>
        </w:rPr>
        <w:t>本次计划引进研究生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highlight w:val="none"/>
          <w:shd w:val="clear" w:color="auto" w:fill="FFFFFF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</w:rPr>
        <w:t>具体岗位需求和条件详见《</w:t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</w:rPr>
        <w:instrText xml:space="preserve"> HYPERLINK "http://www.cj.gov.cn/wcm.files/upload/CMScj/202004/20200405104421422.xls" </w:instrText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  <w:lang w:eastAsia="zh-CN"/>
        </w:rPr>
        <w:t>2023年国家级新疆准东经济技术开发区研究生引进</w:t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</w:rPr>
        <w:t>职位表</w:t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2B2B2B"/>
          <w:spacing w:val="-11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</w:rPr>
        <w:t>见附件1）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-11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、引进程序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、考察、体检、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公示、录用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报名人员自行下载并填写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《2023年国家级新疆准东经济技术开发区研究生引进报名表》《2023年国家级新疆准东经济技术开发区研究生引进登记表》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《报名表》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电子版和毕业证、学位证、身份证的扫描件或照片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按顺序整理汇总发送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指定邮箱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：zdkfqrcb@163.com，邮件主题及压缩包名称以“毕业学校+姓名+报考部门+联系方式”的形式命名。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资格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审查及面试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人员报名材料进行资格审查，通过资格审查的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以电话或短信通知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人员在招聘期间应保持通讯畅通，联系方式变更后，应主动告知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。因无法与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人员取得联系所造成的一切损失由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人员本人承担。资格审查贯穿引才工作全过程，在任一环节发现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人员不符合应聘条件或弄虚作假的，均取消其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人员责任自负。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会同用人单位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与资格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合格人员采取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线上面试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的形式进行择优选拔，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具体时间和相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关要求以资格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审查后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的通知为准。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（三）考察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通过函件等方式，向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人员户籍所在地公安派出所、居民委员会、毕业院校学生管理部门或参加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前所在单位征询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人员的政治表现、思想品质以及遵纪守法等情况。考察合格的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（四）体检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按照《自治区事业单位面向社会公开招聘工作人员体检通用标准（试行）》，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组织体检人员在二级甲等及以上综合医院进行体检。体检不合格者，取消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（五）公示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 w:firstLine="320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对体检合格的人员进行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（六）录用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人员公示结果无异议后，用人单位与拟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、引才政策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（一）引进研究生采取考核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方式招聘，通过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即可录用。入职后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用到综合业务岗，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期满考核合格后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可参加开发区岗位竞聘，竞聘上岗后实行岗位管理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（二）综合业务岗期间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年薪酬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（基本工资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+绩效薪酬+年终奖金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，缴纳五险一金，竞聘上岗后享受所聘任岗位待遇；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具备博士研究生学历和学位的，采取“一事一议”的方式引进；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免费</w:t>
      </w:r>
      <w:r>
        <w:rPr>
          <w:rFonts w:hint="eastAsia" w:ascii="仿宋_GB2312" w:hAnsi="仿宋_GB2312" w:eastAsia="仿宋_GB2312" w:cs="仿宋_GB2312"/>
          <w:sz w:val="32"/>
          <w:szCs w:val="32"/>
        </w:rPr>
        <w:t>为引进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提供人才公寓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享受餐饮中心低价优质工作餐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，同时按照自治区政策可享受探亲假；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）根据配偶实际情况，推荐在准东开发区就业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子女为学龄前儿童的，免费入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（六）对于准东开发区急需紧缺、特别优秀的引进人才，可根据准东开发区“招才引智”政策参与推选。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七、纪律要求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报名人员违反规定的，视情节轻重，取消引进资格；对徇私舞弊者，按有关规定处理，已被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的，解除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、信息查询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（一）本《公告》确定的相关事宜，因特殊情况发生变化的，另行通知。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instrText xml:space="preserve"> HYPERLINK "http://www.cj.gov.cn/wcm.files/upload/CMScj/202004/20200405104421422.xls" </w:instrTex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国家级新疆准东经济技术开发区研究生引进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职位表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》《2023年国家级新疆准东经济技术开发区研究生引进报名表》《2023年国家级新疆准东经济技术开发区研究生引进登记表》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准东开发区官网（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http://zd.cj.cn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或通过关注“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准东开发区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零距离”公众号下载。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、咨询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及监督</w:t>
      </w:r>
      <w:r>
        <w:rPr>
          <w:rFonts w:hint="eastAsia" w:ascii="黑体" w:hAnsi="黑体" w:eastAsia="黑体" w:cs="黑体"/>
          <w:sz w:val="32"/>
          <w:szCs w:val="32"/>
        </w:rPr>
        <w:t>电话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咨询电话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:0994-6738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262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邮箱号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zdkfqrcb@163.com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监督举报电话：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0994-6738161、0994-6738185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18" w:leftChars="304" w:right="0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instrText xml:space="preserve"> HYPERLINK "http://www.cj.gov.cn/wcm.files/upload/CMScj/202004/20200405104421422.xls" </w:instrTex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2023年国家级新疆准东经济技术开发区研究生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15" w:leftChars="912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引进职位表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instrText xml:space="preserve"> HYPERLINK "http://www.cj.gov.cn/wcm.files/upload/CMScj/202004/20200405104402110.xlsx" </w:instrTex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2023年国家级新疆准东经济技术开发区研究生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引进报名表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instrText xml:space="preserve"> HYPERLINK "http://www.cj.gov.cn/wcm.files/upload/CMScj/202004/20200405104402110.xlsx" </w:instrTex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2023年国家级新疆准东经济技术开发区研究生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>引进登记表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新疆准东经济技术开发区人力资源和社会保障局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</w:rPr>
        <w:t>年</w:t>
      </w:r>
      <w:r>
        <w:rPr>
          <w:rFonts w:hint="default" w:ascii="仿宋_GB2312" w:hAnsi="仿宋_GB2312" w:eastAsia="仿宋_GB2312" w:cs="仿宋_GB2312"/>
          <w:color w:val="2B2B2B"/>
          <w:sz w:val="32"/>
          <w:szCs w:val="32"/>
          <w:highlight w:val="none"/>
          <w:lang w:val="en-US"/>
        </w:rPr>
        <w:t>9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B2B2B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MGUwYTQ1MmI1ZmQwZTRiMGJlNTlmMjYxOGUwNmIifQ=="/>
  </w:docVars>
  <w:rsids>
    <w:rsidRoot w:val="00000000"/>
    <w:rsid w:val="0C1A45AB"/>
    <w:rsid w:val="13A445CA"/>
    <w:rsid w:val="7BF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singl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000000"/>
      <w:u w:val="single"/>
    </w:rPr>
  </w:style>
  <w:style w:type="character" w:styleId="18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2">
    <w:name w:val="hover5"/>
    <w:basedOn w:val="10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2031</Characters>
  <Paragraphs>67</Paragraphs>
  <TotalTime>24</TotalTime>
  <ScaleCrop>false</ScaleCrop>
  <LinksUpToDate>false</LinksUpToDate>
  <CharactersWithSpaces>2052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2020-04-10T05:05:00Z</dcterms:created>
  <dc:creator>admin</dc:creator>
  <cp:lastModifiedBy>Lenovo</cp:lastModifiedBy>
  <cp:lastPrinted>2023-07-25T10:11:00Z</cp:lastPrinted>
  <dcterms:modified xsi:type="dcterms:W3CDTF">2023-09-04T02:51:56Z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77F4241D63F2466099B7903A976CB7BB</vt:lpwstr>
  </property>
</Properties>
</file>