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78" w:type="dxa"/>
        <w:tblLook w:val="04A0" w:firstRow="1" w:lastRow="0" w:firstColumn="1" w:lastColumn="0" w:noHBand="0" w:noVBand="1"/>
      </w:tblPr>
      <w:tblGrid>
        <w:gridCol w:w="578"/>
        <w:gridCol w:w="1196"/>
        <w:gridCol w:w="1144"/>
        <w:gridCol w:w="4527"/>
        <w:gridCol w:w="744"/>
        <w:gridCol w:w="1683"/>
        <w:gridCol w:w="2226"/>
        <w:gridCol w:w="1680"/>
      </w:tblGrid>
      <w:tr w:rsidR="00AF2B49" w:rsidRPr="007B2538" w14:paraId="794EE93C" w14:textId="77777777" w:rsidTr="00BD1F50">
        <w:trPr>
          <w:trHeight w:val="657"/>
        </w:trPr>
        <w:tc>
          <w:tcPr>
            <w:tcW w:w="13778" w:type="dxa"/>
            <w:gridSpan w:val="8"/>
            <w:tcBorders>
              <w:top w:val="nil"/>
              <w:left w:val="nil"/>
              <w:bottom w:val="nil"/>
              <w:right w:val="nil"/>
            </w:tcBorders>
            <w:shd w:val="clear" w:color="auto" w:fill="auto"/>
            <w:noWrap/>
            <w:vAlign w:val="center"/>
            <w:hideMark/>
          </w:tcPr>
          <w:p w14:paraId="1248436A" w14:textId="77777777" w:rsidR="00AF2B49" w:rsidRPr="007B2538" w:rsidRDefault="00AF2B49" w:rsidP="00724912">
            <w:pPr>
              <w:widowControl/>
              <w:jc w:val="left"/>
              <w:rPr>
                <w:rFonts w:ascii="黑体" w:eastAsia="黑体" w:hAnsi="黑体" w:cs="宋体"/>
                <w:kern w:val="0"/>
                <w:sz w:val="32"/>
                <w:szCs w:val="32"/>
              </w:rPr>
            </w:pPr>
            <w:r w:rsidRPr="007B2538">
              <w:rPr>
                <w:rFonts w:ascii="黑体" w:eastAsia="黑体" w:hAnsi="黑体" w:cs="宋体" w:hint="eastAsia"/>
                <w:kern w:val="0"/>
                <w:sz w:val="32"/>
                <w:szCs w:val="32"/>
              </w:rPr>
              <w:t>附件1</w:t>
            </w:r>
          </w:p>
        </w:tc>
      </w:tr>
      <w:tr w:rsidR="00AF2B49" w:rsidRPr="007B2538" w14:paraId="0C05FC34" w14:textId="77777777" w:rsidTr="00BD1F50">
        <w:trPr>
          <w:trHeight w:val="912"/>
        </w:trPr>
        <w:tc>
          <w:tcPr>
            <w:tcW w:w="13778" w:type="dxa"/>
            <w:gridSpan w:val="8"/>
            <w:tcBorders>
              <w:top w:val="nil"/>
              <w:left w:val="nil"/>
              <w:bottom w:val="nil"/>
              <w:right w:val="nil"/>
            </w:tcBorders>
            <w:shd w:val="clear" w:color="auto" w:fill="auto"/>
            <w:noWrap/>
            <w:vAlign w:val="center"/>
            <w:hideMark/>
          </w:tcPr>
          <w:p w14:paraId="635697AF" w14:textId="77777777" w:rsidR="00AF2B49" w:rsidRPr="007B2538" w:rsidRDefault="00AF2B49" w:rsidP="00724912">
            <w:pPr>
              <w:widowControl/>
              <w:jc w:val="center"/>
              <w:rPr>
                <w:rFonts w:ascii="方正小标宋简体" w:eastAsia="方正小标宋简体" w:hAnsi="宋体" w:cs="宋体"/>
                <w:kern w:val="0"/>
                <w:sz w:val="36"/>
                <w:szCs w:val="36"/>
              </w:rPr>
            </w:pPr>
            <w:r w:rsidRPr="007B2538">
              <w:rPr>
                <w:rFonts w:ascii="方正小标宋简体" w:eastAsia="方正小标宋简体" w:hAnsi="宋体" w:cs="宋体" w:hint="eastAsia"/>
                <w:kern w:val="0"/>
                <w:sz w:val="36"/>
                <w:szCs w:val="36"/>
              </w:rPr>
              <w:t>对外合作与交流中心2023年</w:t>
            </w:r>
            <w:r>
              <w:rPr>
                <w:rFonts w:ascii="方正小标宋简体" w:eastAsia="方正小标宋简体" w:hAnsi="宋体" w:cs="宋体" w:hint="eastAsia"/>
                <w:kern w:val="0"/>
                <w:sz w:val="36"/>
                <w:szCs w:val="36"/>
              </w:rPr>
              <w:t>第二次社会公开招聘</w:t>
            </w:r>
            <w:r w:rsidRPr="007B2538">
              <w:rPr>
                <w:rFonts w:ascii="方正小标宋简体" w:eastAsia="方正小标宋简体" w:hAnsi="宋体" w:cs="宋体" w:hint="eastAsia"/>
                <w:kern w:val="0"/>
                <w:sz w:val="36"/>
                <w:szCs w:val="36"/>
              </w:rPr>
              <w:t>岗位信息表</w:t>
            </w:r>
          </w:p>
        </w:tc>
      </w:tr>
      <w:tr w:rsidR="00AF2B49" w:rsidRPr="007B2538" w14:paraId="4D43BBF4" w14:textId="77777777" w:rsidTr="00BD1F50">
        <w:trPr>
          <w:trHeight w:val="482"/>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91262" w14:textId="77777777" w:rsidR="00AF2B49" w:rsidRPr="00914D41" w:rsidRDefault="00AF2B49" w:rsidP="00724912">
            <w:pPr>
              <w:widowControl/>
              <w:snapToGrid w:val="0"/>
              <w:spacing w:line="460" w:lineRule="exact"/>
              <w:jc w:val="center"/>
              <w:rPr>
                <w:rFonts w:ascii="黑体" w:eastAsia="黑体" w:hAnsi="黑体" w:cs="宋体"/>
                <w:kern w:val="0"/>
                <w:sz w:val="24"/>
                <w:szCs w:val="28"/>
              </w:rPr>
            </w:pPr>
            <w:r w:rsidRPr="00914D41">
              <w:rPr>
                <w:rFonts w:ascii="黑体" w:eastAsia="黑体" w:hAnsi="黑体" w:cs="宋体" w:hint="eastAsia"/>
                <w:kern w:val="0"/>
                <w:sz w:val="24"/>
                <w:szCs w:val="28"/>
              </w:rPr>
              <w:t>序号</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31BFB" w14:textId="77777777" w:rsidR="00AF2B49" w:rsidRPr="00914D41" w:rsidRDefault="00AF2B49" w:rsidP="00724912">
            <w:pPr>
              <w:widowControl/>
              <w:snapToGrid w:val="0"/>
              <w:spacing w:line="460" w:lineRule="exact"/>
              <w:jc w:val="center"/>
              <w:rPr>
                <w:rFonts w:ascii="黑体" w:eastAsia="黑体" w:hAnsi="黑体" w:cs="宋体"/>
                <w:kern w:val="0"/>
                <w:sz w:val="24"/>
                <w:szCs w:val="28"/>
              </w:rPr>
            </w:pPr>
            <w:r w:rsidRPr="00914D41">
              <w:rPr>
                <w:rFonts w:ascii="黑体" w:eastAsia="黑体" w:hAnsi="黑体" w:cs="宋体" w:hint="eastAsia"/>
                <w:kern w:val="0"/>
                <w:sz w:val="24"/>
                <w:szCs w:val="28"/>
              </w:rPr>
              <w:t>工作部门</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558FC" w14:textId="77777777" w:rsidR="00AF2B49" w:rsidRPr="00914D41" w:rsidRDefault="00AF2B49" w:rsidP="00724912">
            <w:pPr>
              <w:widowControl/>
              <w:snapToGrid w:val="0"/>
              <w:spacing w:line="360" w:lineRule="exact"/>
              <w:jc w:val="center"/>
              <w:rPr>
                <w:rFonts w:ascii="黑体" w:eastAsia="黑体" w:hAnsi="黑体" w:cs="宋体"/>
                <w:kern w:val="0"/>
                <w:sz w:val="24"/>
                <w:szCs w:val="28"/>
              </w:rPr>
            </w:pPr>
            <w:r w:rsidRPr="00914D41">
              <w:rPr>
                <w:rFonts w:ascii="黑体" w:eastAsia="黑体" w:hAnsi="黑体" w:cs="宋体" w:hint="eastAsia"/>
                <w:kern w:val="0"/>
                <w:sz w:val="24"/>
                <w:szCs w:val="28"/>
              </w:rPr>
              <w:t>岗位名称</w:t>
            </w:r>
          </w:p>
        </w:tc>
        <w:tc>
          <w:tcPr>
            <w:tcW w:w="4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36523" w14:textId="77777777" w:rsidR="00AF2B49" w:rsidRPr="00914D41" w:rsidRDefault="00AF2B49" w:rsidP="00724912">
            <w:pPr>
              <w:widowControl/>
              <w:snapToGrid w:val="0"/>
              <w:spacing w:line="360" w:lineRule="exact"/>
              <w:jc w:val="center"/>
              <w:rPr>
                <w:rFonts w:ascii="黑体" w:eastAsia="黑体" w:hAnsi="黑体" w:cs="宋体"/>
                <w:kern w:val="0"/>
                <w:sz w:val="24"/>
                <w:szCs w:val="28"/>
              </w:rPr>
            </w:pPr>
            <w:r w:rsidRPr="00914D41">
              <w:rPr>
                <w:rFonts w:ascii="黑体" w:eastAsia="黑体" w:hAnsi="黑体" w:cs="宋体" w:hint="eastAsia"/>
                <w:kern w:val="0"/>
                <w:sz w:val="24"/>
                <w:szCs w:val="28"/>
              </w:rPr>
              <w:t>岗位职责</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B9BEC" w14:textId="77777777" w:rsidR="00AF2B49" w:rsidRPr="00914D41" w:rsidRDefault="00AF2B49" w:rsidP="00724912">
            <w:pPr>
              <w:widowControl/>
              <w:snapToGrid w:val="0"/>
              <w:spacing w:line="360" w:lineRule="exact"/>
              <w:jc w:val="center"/>
              <w:rPr>
                <w:rFonts w:ascii="黑体" w:eastAsia="黑体" w:hAnsi="黑体" w:cs="宋体"/>
                <w:kern w:val="0"/>
                <w:sz w:val="24"/>
                <w:szCs w:val="28"/>
              </w:rPr>
            </w:pPr>
            <w:r w:rsidRPr="00914D41">
              <w:rPr>
                <w:rFonts w:ascii="黑体" w:eastAsia="黑体" w:hAnsi="黑体" w:cs="宋体" w:hint="eastAsia"/>
                <w:kern w:val="0"/>
                <w:sz w:val="24"/>
                <w:szCs w:val="28"/>
              </w:rPr>
              <w:t>招聘人数</w:t>
            </w:r>
          </w:p>
        </w:tc>
        <w:tc>
          <w:tcPr>
            <w:tcW w:w="558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198D04" w14:textId="77777777" w:rsidR="00AF2B49" w:rsidRPr="00914D41" w:rsidRDefault="00AF2B49" w:rsidP="00724912">
            <w:pPr>
              <w:widowControl/>
              <w:snapToGrid w:val="0"/>
              <w:spacing w:line="460" w:lineRule="exact"/>
              <w:jc w:val="center"/>
              <w:rPr>
                <w:rFonts w:ascii="黑体" w:eastAsia="黑体" w:hAnsi="黑体" w:cs="宋体"/>
                <w:kern w:val="0"/>
                <w:sz w:val="24"/>
                <w:szCs w:val="28"/>
              </w:rPr>
            </w:pPr>
            <w:r w:rsidRPr="00914D41">
              <w:rPr>
                <w:rFonts w:ascii="黑体" w:eastAsia="黑体" w:hAnsi="黑体" w:cs="宋体" w:hint="eastAsia"/>
                <w:kern w:val="0"/>
                <w:sz w:val="24"/>
                <w:szCs w:val="28"/>
              </w:rPr>
              <w:t>岗位条件</w:t>
            </w:r>
          </w:p>
        </w:tc>
      </w:tr>
      <w:tr w:rsidR="00AF2B49" w:rsidRPr="007B2538" w14:paraId="2C255B5B" w14:textId="77777777" w:rsidTr="00BD1F50">
        <w:trPr>
          <w:trHeight w:val="393"/>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3A8E4FE4" w14:textId="77777777" w:rsidR="00AF2B49" w:rsidRPr="00914D41" w:rsidRDefault="00AF2B49" w:rsidP="00724912">
            <w:pPr>
              <w:widowControl/>
              <w:snapToGrid w:val="0"/>
              <w:spacing w:line="460" w:lineRule="exact"/>
              <w:jc w:val="left"/>
              <w:rPr>
                <w:rFonts w:ascii="黑体" w:eastAsia="黑体" w:hAnsi="黑体" w:cs="宋体"/>
                <w:kern w:val="0"/>
                <w:sz w:val="24"/>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009BA5EA" w14:textId="77777777" w:rsidR="00AF2B49" w:rsidRPr="00914D41" w:rsidRDefault="00AF2B49" w:rsidP="00724912">
            <w:pPr>
              <w:widowControl/>
              <w:snapToGrid w:val="0"/>
              <w:spacing w:line="460" w:lineRule="exact"/>
              <w:jc w:val="left"/>
              <w:rPr>
                <w:rFonts w:ascii="黑体" w:eastAsia="黑体" w:hAnsi="黑体" w:cs="宋体"/>
                <w:kern w:val="0"/>
                <w:sz w:val="24"/>
                <w:szCs w:val="28"/>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6E38AB71" w14:textId="77777777" w:rsidR="00AF2B49" w:rsidRPr="00914D41" w:rsidRDefault="00AF2B49" w:rsidP="00724912">
            <w:pPr>
              <w:widowControl/>
              <w:snapToGrid w:val="0"/>
              <w:spacing w:line="460" w:lineRule="exact"/>
              <w:jc w:val="left"/>
              <w:rPr>
                <w:rFonts w:ascii="黑体" w:eastAsia="黑体" w:hAnsi="黑体" w:cs="宋体"/>
                <w:kern w:val="0"/>
                <w:sz w:val="24"/>
                <w:szCs w:val="28"/>
              </w:rPr>
            </w:pPr>
          </w:p>
        </w:tc>
        <w:tc>
          <w:tcPr>
            <w:tcW w:w="4527" w:type="dxa"/>
            <w:vMerge/>
            <w:tcBorders>
              <w:top w:val="single" w:sz="4" w:space="0" w:color="auto"/>
              <w:left w:val="single" w:sz="4" w:space="0" w:color="auto"/>
              <w:bottom w:val="single" w:sz="4" w:space="0" w:color="auto"/>
              <w:right w:val="single" w:sz="4" w:space="0" w:color="auto"/>
            </w:tcBorders>
            <w:vAlign w:val="center"/>
            <w:hideMark/>
          </w:tcPr>
          <w:p w14:paraId="0F15F90E" w14:textId="77777777" w:rsidR="00AF2B49" w:rsidRPr="00914D41" w:rsidRDefault="00AF2B49" w:rsidP="00724912">
            <w:pPr>
              <w:widowControl/>
              <w:snapToGrid w:val="0"/>
              <w:spacing w:line="460" w:lineRule="exact"/>
              <w:jc w:val="left"/>
              <w:rPr>
                <w:rFonts w:ascii="黑体" w:eastAsia="黑体" w:hAnsi="黑体" w:cs="宋体"/>
                <w:kern w:val="0"/>
                <w:sz w:val="24"/>
                <w:szCs w:val="28"/>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14:paraId="5900356C" w14:textId="77777777" w:rsidR="00AF2B49" w:rsidRPr="00914D41" w:rsidRDefault="00AF2B49" w:rsidP="00724912">
            <w:pPr>
              <w:widowControl/>
              <w:snapToGrid w:val="0"/>
              <w:spacing w:line="460" w:lineRule="exact"/>
              <w:jc w:val="left"/>
              <w:rPr>
                <w:rFonts w:ascii="黑体" w:eastAsia="黑体" w:hAnsi="黑体" w:cs="宋体"/>
                <w:kern w:val="0"/>
                <w:sz w:val="24"/>
                <w:szCs w:val="28"/>
              </w:rPr>
            </w:pPr>
          </w:p>
        </w:tc>
        <w:tc>
          <w:tcPr>
            <w:tcW w:w="1683" w:type="dxa"/>
            <w:tcBorders>
              <w:top w:val="nil"/>
              <w:left w:val="nil"/>
              <w:bottom w:val="single" w:sz="4" w:space="0" w:color="auto"/>
              <w:right w:val="single" w:sz="4" w:space="0" w:color="auto"/>
            </w:tcBorders>
            <w:shd w:val="clear" w:color="auto" w:fill="auto"/>
            <w:noWrap/>
            <w:vAlign w:val="center"/>
            <w:hideMark/>
          </w:tcPr>
          <w:p w14:paraId="780E57EF" w14:textId="77777777" w:rsidR="00AF2B49" w:rsidRPr="00914D41" w:rsidRDefault="00AF2B49" w:rsidP="00724912">
            <w:pPr>
              <w:widowControl/>
              <w:snapToGrid w:val="0"/>
              <w:spacing w:line="460" w:lineRule="exact"/>
              <w:jc w:val="center"/>
              <w:rPr>
                <w:rFonts w:ascii="黑体" w:eastAsia="黑体" w:hAnsi="黑体" w:cs="宋体"/>
                <w:kern w:val="0"/>
                <w:sz w:val="24"/>
                <w:szCs w:val="28"/>
              </w:rPr>
            </w:pPr>
            <w:r w:rsidRPr="00914D41">
              <w:rPr>
                <w:rFonts w:ascii="黑体" w:eastAsia="黑体" w:hAnsi="黑体" w:cs="宋体" w:hint="eastAsia"/>
                <w:kern w:val="0"/>
                <w:sz w:val="24"/>
                <w:szCs w:val="28"/>
              </w:rPr>
              <w:t>专业</w:t>
            </w:r>
          </w:p>
        </w:tc>
        <w:tc>
          <w:tcPr>
            <w:tcW w:w="2226" w:type="dxa"/>
            <w:tcBorders>
              <w:top w:val="nil"/>
              <w:left w:val="nil"/>
              <w:bottom w:val="single" w:sz="4" w:space="0" w:color="auto"/>
              <w:right w:val="single" w:sz="4" w:space="0" w:color="auto"/>
            </w:tcBorders>
            <w:shd w:val="clear" w:color="auto" w:fill="auto"/>
            <w:noWrap/>
            <w:vAlign w:val="center"/>
            <w:hideMark/>
          </w:tcPr>
          <w:p w14:paraId="595054A6" w14:textId="77777777" w:rsidR="00AF2B49" w:rsidRPr="00914D41" w:rsidRDefault="00AF2B49" w:rsidP="00724912">
            <w:pPr>
              <w:widowControl/>
              <w:snapToGrid w:val="0"/>
              <w:spacing w:line="460" w:lineRule="exact"/>
              <w:jc w:val="center"/>
              <w:rPr>
                <w:rFonts w:ascii="黑体" w:eastAsia="黑体" w:hAnsi="黑体" w:cs="宋体"/>
                <w:kern w:val="0"/>
                <w:sz w:val="24"/>
                <w:szCs w:val="28"/>
              </w:rPr>
            </w:pPr>
            <w:r w:rsidRPr="00914D41">
              <w:rPr>
                <w:rFonts w:ascii="黑体" w:eastAsia="黑体" w:hAnsi="黑体" w:cs="宋体" w:hint="eastAsia"/>
                <w:kern w:val="0"/>
                <w:sz w:val="24"/>
                <w:szCs w:val="28"/>
              </w:rPr>
              <w:t>学历学位</w:t>
            </w:r>
          </w:p>
        </w:tc>
        <w:tc>
          <w:tcPr>
            <w:tcW w:w="1677" w:type="dxa"/>
            <w:tcBorders>
              <w:top w:val="nil"/>
              <w:left w:val="nil"/>
              <w:bottom w:val="single" w:sz="4" w:space="0" w:color="auto"/>
              <w:right w:val="single" w:sz="4" w:space="0" w:color="auto"/>
            </w:tcBorders>
            <w:shd w:val="clear" w:color="auto" w:fill="auto"/>
            <w:noWrap/>
            <w:vAlign w:val="center"/>
            <w:hideMark/>
          </w:tcPr>
          <w:p w14:paraId="79CC42A3" w14:textId="77777777" w:rsidR="00AF2B49" w:rsidRPr="00914D41" w:rsidRDefault="00AF2B49" w:rsidP="00724912">
            <w:pPr>
              <w:widowControl/>
              <w:jc w:val="center"/>
              <w:rPr>
                <w:rFonts w:ascii="黑体" w:eastAsia="黑体" w:hAnsi="黑体" w:cs="宋体"/>
                <w:kern w:val="0"/>
                <w:sz w:val="24"/>
                <w:szCs w:val="28"/>
              </w:rPr>
            </w:pPr>
            <w:r w:rsidRPr="00914D41">
              <w:rPr>
                <w:rFonts w:ascii="黑体" w:eastAsia="黑体" w:hAnsi="黑体" w:cs="宋体" w:hint="eastAsia"/>
                <w:kern w:val="0"/>
                <w:sz w:val="24"/>
                <w:szCs w:val="28"/>
              </w:rPr>
              <w:t>其他</w:t>
            </w:r>
          </w:p>
        </w:tc>
      </w:tr>
      <w:tr w:rsidR="00AF2B49" w:rsidRPr="00B05DAE" w14:paraId="63A3ACA0" w14:textId="77777777" w:rsidTr="00BD1F50">
        <w:trPr>
          <w:trHeight w:val="1927"/>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02E7A84" w14:textId="77777777" w:rsidR="00AF2B49" w:rsidRPr="00B77D3D" w:rsidRDefault="00AF2B49" w:rsidP="00724912">
            <w:pPr>
              <w:widowControl/>
              <w:jc w:val="center"/>
              <w:rPr>
                <w:rFonts w:ascii="楷体" w:eastAsia="楷体" w:hAnsi="楷体"/>
                <w:sz w:val="24"/>
              </w:rPr>
            </w:pPr>
            <w:r w:rsidRPr="00B77D3D">
              <w:rPr>
                <w:rFonts w:ascii="楷体" w:eastAsia="楷体" w:hAnsi="楷体" w:hint="eastAsia"/>
                <w:sz w:val="24"/>
              </w:rPr>
              <w:t>1</w:t>
            </w:r>
          </w:p>
        </w:tc>
        <w:tc>
          <w:tcPr>
            <w:tcW w:w="1196" w:type="dxa"/>
            <w:tcBorders>
              <w:top w:val="nil"/>
              <w:left w:val="nil"/>
              <w:bottom w:val="single" w:sz="4" w:space="0" w:color="auto"/>
              <w:right w:val="single" w:sz="4" w:space="0" w:color="auto"/>
            </w:tcBorders>
            <w:shd w:val="clear" w:color="auto" w:fill="auto"/>
            <w:vAlign w:val="center"/>
            <w:hideMark/>
          </w:tcPr>
          <w:p w14:paraId="021EE63C"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履约三处</w:t>
            </w:r>
          </w:p>
        </w:tc>
        <w:tc>
          <w:tcPr>
            <w:tcW w:w="1144" w:type="dxa"/>
            <w:tcBorders>
              <w:top w:val="nil"/>
              <w:left w:val="nil"/>
              <w:bottom w:val="single" w:sz="4" w:space="0" w:color="auto"/>
              <w:right w:val="single" w:sz="4" w:space="0" w:color="auto"/>
            </w:tcBorders>
            <w:shd w:val="clear" w:color="auto" w:fill="auto"/>
            <w:vAlign w:val="center"/>
            <w:hideMark/>
          </w:tcPr>
          <w:p w14:paraId="76733BD3"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新污染物治理研究岗</w:t>
            </w:r>
          </w:p>
        </w:tc>
        <w:tc>
          <w:tcPr>
            <w:tcW w:w="4527" w:type="dxa"/>
            <w:tcBorders>
              <w:top w:val="nil"/>
              <w:left w:val="nil"/>
              <w:bottom w:val="single" w:sz="4" w:space="0" w:color="auto"/>
              <w:right w:val="single" w:sz="4" w:space="0" w:color="auto"/>
            </w:tcBorders>
            <w:shd w:val="clear" w:color="auto" w:fill="auto"/>
            <w:vAlign w:val="center"/>
            <w:hideMark/>
          </w:tcPr>
          <w:p w14:paraId="3DCAF80E"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跟踪研究国内外新污染物管理政策，负责新污染物（尤其是PFAS等物质）筛查与评估、减排与处置、环境管控、成果转化等领域的相关政策标准及技术研究；协助开展相关国际、科研和横向课题等项目的开发和执行。</w:t>
            </w:r>
          </w:p>
        </w:tc>
        <w:tc>
          <w:tcPr>
            <w:tcW w:w="744" w:type="dxa"/>
            <w:tcBorders>
              <w:top w:val="nil"/>
              <w:left w:val="nil"/>
              <w:bottom w:val="single" w:sz="4" w:space="0" w:color="auto"/>
              <w:right w:val="single" w:sz="4" w:space="0" w:color="auto"/>
            </w:tcBorders>
            <w:shd w:val="clear" w:color="auto" w:fill="auto"/>
            <w:noWrap/>
            <w:vAlign w:val="center"/>
            <w:hideMark/>
          </w:tcPr>
          <w:p w14:paraId="2E9AF8F2"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1</w:t>
            </w:r>
          </w:p>
        </w:tc>
        <w:tc>
          <w:tcPr>
            <w:tcW w:w="1683" w:type="dxa"/>
            <w:tcBorders>
              <w:top w:val="nil"/>
              <w:left w:val="nil"/>
              <w:bottom w:val="single" w:sz="4" w:space="0" w:color="auto"/>
              <w:right w:val="single" w:sz="4" w:space="0" w:color="auto"/>
            </w:tcBorders>
            <w:shd w:val="clear" w:color="auto" w:fill="auto"/>
            <w:vAlign w:val="center"/>
            <w:hideMark/>
          </w:tcPr>
          <w:p w14:paraId="0A4D16D0"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环境科学与工程、环境政策与管理、环境化学、分析化学等相关专业</w:t>
            </w:r>
          </w:p>
        </w:tc>
        <w:tc>
          <w:tcPr>
            <w:tcW w:w="2226" w:type="dxa"/>
            <w:tcBorders>
              <w:top w:val="nil"/>
              <w:left w:val="nil"/>
              <w:bottom w:val="single" w:sz="4" w:space="0" w:color="auto"/>
              <w:right w:val="single" w:sz="4" w:space="0" w:color="auto"/>
            </w:tcBorders>
            <w:shd w:val="clear" w:color="auto" w:fill="auto"/>
            <w:vAlign w:val="center"/>
            <w:hideMark/>
          </w:tcPr>
          <w:p w14:paraId="4A70D432"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硕士研究生及以上，具有3年及以上相关工作经验。</w:t>
            </w:r>
          </w:p>
        </w:tc>
        <w:tc>
          <w:tcPr>
            <w:tcW w:w="1677" w:type="dxa"/>
            <w:tcBorders>
              <w:top w:val="nil"/>
              <w:left w:val="nil"/>
              <w:bottom w:val="single" w:sz="4" w:space="0" w:color="auto"/>
              <w:right w:val="single" w:sz="4" w:space="0" w:color="auto"/>
            </w:tcBorders>
            <w:shd w:val="clear" w:color="auto" w:fill="auto"/>
            <w:vAlign w:val="center"/>
            <w:hideMark/>
          </w:tcPr>
          <w:p w14:paraId="65896990"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同等条件下，取得中级职称者优先。</w:t>
            </w:r>
          </w:p>
        </w:tc>
      </w:tr>
      <w:tr w:rsidR="00AF2B49" w:rsidRPr="007B2538" w14:paraId="7334E85B" w14:textId="77777777" w:rsidTr="00BD1F50">
        <w:trPr>
          <w:trHeight w:val="1914"/>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264DF"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2</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14:paraId="57848452" w14:textId="77777777" w:rsidR="00AF2B49" w:rsidRPr="00B77D3D" w:rsidRDefault="00AF2B49" w:rsidP="00724912">
            <w:pPr>
              <w:jc w:val="left"/>
              <w:rPr>
                <w:rFonts w:ascii="楷体" w:eastAsia="楷体" w:hAnsi="楷体"/>
                <w:sz w:val="24"/>
              </w:rPr>
            </w:pPr>
            <w:r w:rsidRPr="00B77D3D">
              <w:rPr>
                <w:rFonts w:ascii="楷体" w:eastAsia="楷体" w:hAnsi="楷体" w:hint="eastAsia"/>
                <w:sz w:val="24"/>
              </w:rPr>
              <w:t>合作二处</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14:paraId="11D5184E"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绿色贸易和可持续价值链研究岗</w:t>
            </w:r>
          </w:p>
        </w:tc>
        <w:tc>
          <w:tcPr>
            <w:tcW w:w="4527" w:type="dxa"/>
            <w:tcBorders>
              <w:top w:val="single" w:sz="4" w:space="0" w:color="auto"/>
              <w:left w:val="nil"/>
              <w:bottom w:val="single" w:sz="4" w:space="0" w:color="auto"/>
              <w:right w:val="single" w:sz="4" w:space="0" w:color="auto"/>
            </w:tcBorders>
            <w:shd w:val="clear" w:color="000000" w:fill="FFFFFF"/>
            <w:vAlign w:val="center"/>
            <w:hideMark/>
          </w:tcPr>
          <w:p w14:paraId="37122BFF" w14:textId="77777777" w:rsidR="00AF2B49" w:rsidRPr="00B77D3D" w:rsidRDefault="00AF2B49" w:rsidP="00724912">
            <w:pPr>
              <w:jc w:val="left"/>
              <w:rPr>
                <w:rFonts w:ascii="楷体" w:eastAsia="楷体" w:hAnsi="楷体"/>
                <w:sz w:val="24"/>
              </w:rPr>
            </w:pPr>
            <w:r w:rsidRPr="00B77D3D">
              <w:rPr>
                <w:rFonts w:ascii="楷体" w:eastAsia="楷体" w:hAnsi="楷体" w:hint="eastAsia"/>
                <w:sz w:val="24"/>
              </w:rPr>
              <w:t>负责开展国际贸易与价值链可持续管理政策研究，开展中国-东盟、澜沧江-湄公河、中非等区域绿色价值链与应对气候变化分析与研究，支持气候变化背景下区域投资贸易与环境政策协调配合的路径探索与区域合作。</w:t>
            </w:r>
          </w:p>
        </w:tc>
        <w:tc>
          <w:tcPr>
            <w:tcW w:w="744" w:type="dxa"/>
            <w:tcBorders>
              <w:top w:val="single" w:sz="4" w:space="0" w:color="auto"/>
              <w:left w:val="nil"/>
              <w:bottom w:val="single" w:sz="4" w:space="0" w:color="auto"/>
              <w:right w:val="single" w:sz="4" w:space="0" w:color="auto"/>
            </w:tcBorders>
            <w:shd w:val="clear" w:color="000000" w:fill="FFFFFF"/>
            <w:noWrap/>
            <w:vAlign w:val="center"/>
            <w:hideMark/>
          </w:tcPr>
          <w:p w14:paraId="4F2EB04D"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1</w:t>
            </w:r>
          </w:p>
        </w:tc>
        <w:tc>
          <w:tcPr>
            <w:tcW w:w="1683" w:type="dxa"/>
            <w:tcBorders>
              <w:top w:val="single" w:sz="4" w:space="0" w:color="auto"/>
              <w:left w:val="nil"/>
              <w:bottom w:val="single" w:sz="4" w:space="0" w:color="auto"/>
              <w:right w:val="single" w:sz="4" w:space="0" w:color="auto"/>
            </w:tcBorders>
            <w:shd w:val="clear" w:color="000000" w:fill="FFFFFF"/>
            <w:vAlign w:val="center"/>
            <w:hideMark/>
          </w:tcPr>
          <w:p w14:paraId="4D2E4B92"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人文地理、国际关系、国际经济等相关专业</w:t>
            </w:r>
          </w:p>
        </w:tc>
        <w:tc>
          <w:tcPr>
            <w:tcW w:w="2226" w:type="dxa"/>
            <w:tcBorders>
              <w:top w:val="single" w:sz="4" w:space="0" w:color="auto"/>
              <w:left w:val="nil"/>
              <w:bottom w:val="single" w:sz="4" w:space="0" w:color="auto"/>
              <w:right w:val="single" w:sz="4" w:space="0" w:color="auto"/>
            </w:tcBorders>
            <w:shd w:val="clear" w:color="000000" w:fill="FFFFFF"/>
            <w:vAlign w:val="center"/>
            <w:hideMark/>
          </w:tcPr>
          <w:p w14:paraId="0415F277"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硕士研究生及以上</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14:paraId="59036B36"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同等条件下，具有相关工作经验者优先。</w:t>
            </w:r>
          </w:p>
        </w:tc>
      </w:tr>
      <w:tr w:rsidR="00AF2B49" w:rsidRPr="007B2538" w14:paraId="114A54AB" w14:textId="77777777" w:rsidTr="00BD1F50">
        <w:trPr>
          <w:trHeight w:val="154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4FC2E0EC"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3</w:t>
            </w:r>
          </w:p>
        </w:tc>
        <w:tc>
          <w:tcPr>
            <w:tcW w:w="1196" w:type="dxa"/>
            <w:tcBorders>
              <w:top w:val="nil"/>
              <w:left w:val="nil"/>
              <w:bottom w:val="single" w:sz="4" w:space="0" w:color="auto"/>
              <w:right w:val="single" w:sz="4" w:space="0" w:color="auto"/>
            </w:tcBorders>
            <w:shd w:val="clear" w:color="auto" w:fill="auto"/>
            <w:vAlign w:val="center"/>
            <w:hideMark/>
          </w:tcPr>
          <w:p w14:paraId="023B8CF0"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合作三处</w:t>
            </w:r>
          </w:p>
        </w:tc>
        <w:tc>
          <w:tcPr>
            <w:tcW w:w="1144" w:type="dxa"/>
            <w:tcBorders>
              <w:top w:val="nil"/>
              <w:left w:val="nil"/>
              <w:bottom w:val="single" w:sz="4" w:space="0" w:color="auto"/>
              <w:right w:val="single" w:sz="4" w:space="0" w:color="auto"/>
            </w:tcBorders>
            <w:shd w:val="clear" w:color="auto" w:fill="auto"/>
            <w:vAlign w:val="center"/>
            <w:hideMark/>
          </w:tcPr>
          <w:p w14:paraId="419A8670"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中西亚谈判与研究岗</w:t>
            </w:r>
          </w:p>
        </w:tc>
        <w:tc>
          <w:tcPr>
            <w:tcW w:w="4527" w:type="dxa"/>
            <w:tcBorders>
              <w:top w:val="nil"/>
              <w:left w:val="nil"/>
              <w:bottom w:val="single" w:sz="4" w:space="0" w:color="auto"/>
              <w:right w:val="single" w:sz="4" w:space="0" w:color="auto"/>
            </w:tcBorders>
            <w:shd w:val="clear" w:color="auto" w:fill="auto"/>
            <w:vAlign w:val="center"/>
            <w:hideMark/>
          </w:tcPr>
          <w:p w14:paraId="602459D1"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开展与中亚、西亚阿拉伯国家环境机制技术支持以及中亚、西亚阿拉伯国家环境和气候问题研究，负责管理和实施科研项目和国际合作项目。</w:t>
            </w:r>
          </w:p>
        </w:tc>
        <w:tc>
          <w:tcPr>
            <w:tcW w:w="744" w:type="dxa"/>
            <w:tcBorders>
              <w:top w:val="nil"/>
              <w:left w:val="nil"/>
              <w:bottom w:val="single" w:sz="4" w:space="0" w:color="auto"/>
              <w:right w:val="single" w:sz="4" w:space="0" w:color="auto"/>
            </w:tcBorders>
            <w:shd w:val="clear" w:color="auto" w:fill="auto"/>
            <w:noWrap/>
            <w:vAlign w:val="center"/>
            <w:hideMark/>
          </w:tcPr>
          <w:p w14:paraId="6D96A3AE"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1</w:t>
            </w:r>
          </w:p>
        </w:tc>
        <w:tc>
          <w:tcPr>
            <w:tcW w:w="1683" w:type="dxa"/>
            <w:tcBorders>
              <w:top w:val="nil"/>
              <w:left w:val="nil"/>
              <w:bottom w:val="single" w:sz="4" w:space="0" w:color="auto"/>
              <w:right w:val="single" w:sz="4" w:space="0" w:color="auto"/>
            </w:tcBorders>
            <w:shd w:val="clear" w:color="auto" w:fill="auto"/>
            <w:vAlign w:val="center"/>
            <w:hideMark/>
          </w:tcPr>
          <w:p w14:paraId="4712349C"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经济、环境、法学等相关专业</w:t>
            </w:r>
          </w:p>
        </w:tc>
        <w:tc>
          <w:tcPr>
            <w:tcW w:w="2226" w:type="dxa"/>
            <w:tcBorders>
              <w:top w:val="nil"/>
              <w:left w:val="nil"/>
              <w:bottom w:val="single" w:sz="4" w:space="0" w:color="auto"/>
              <w:right w:val="single" w:sz="4" w:space="0" w:color="auto"/>
            </w:tcBorders>
            <w:shd w:val="clear" w:color="auto" w:fill="auto"/>
            <w:vAlign w:val="center"/>
            <w:hideMark/>
          </w:tcPr>
          <w:p w14:paraId="20791BD1"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硕士研究生及以上</w:t>
            </w:r>
          </w:p>
        </w:tc>
        <w:tc>
          <w:tcPr>
            <w:tcW w:w="1677" w:type="dxa"/>
            <w:tcBorders>
              <w:top w:val="nil"/>
              <w:left w:val="nil"/>
              <w:bottom w:val="single" w:sz="4" w:space="0" w:color="auto"/>
              <w:right w:val="single" w:sz="4" w:space="0" w:color="auto"/>
            </w:tcBorders>
            <w:shd w:val="clear" w:color="auto" w:fill="auto"/>
            <w:vAlign w:val="center"/>
            <w:hideMark/>
          </w:tcPr>
          <w:p w14:paraId="612CDDEA" w14:textId="77777777" w:rsidR="00AF2B49" w:rsidRPr="00B77D3D" w:rsidRDefault="00AF2B49" w:rsidP="00724912">
            <w:pPr>
              <w:jc w:val="center"/>
              <w:rPr>
                <w:rFonts w:ascii="楷体" w:eastAsia="楷体" w:hAnsi="楷体"/>
                <w:sz w:val="24"/>
              </w:rPr>
            </w:pPr>
            <w:r w:rsidRPr="00B77D3D">
              <w:rPr>
                <w:rFonts w:ascii="楷体" w:eastAsia="楷体" w:hAnsi="楷体" w:hint="eastAsia"/>
                <w:sz w:val="24"/>
              </w:rPr>
              <w:t>具有良好的俄语听说读写能力和较好的政策或科学研究能力。</w:t>
            </w:r>
          </w:p>
        </w:tc>
      </w:tr>
    </w:tbl>
    <w:p w14:paraId="6B9EE4DB" w14:textId="77777777" w:rsidR="00177DBF" w:rsidRPr="00BD1F50" w:rsidRDefault="00177DBF" w:rsidP="00BD1F50">
      <w:pPr>
        <w:rPr>
          <w:rFonts w:hint="eastAsia"/>
        </w:rPr>
      </w:pPr>
    </w:p>
    <w:sectPr w:rsidR="00177DBF" w:rsidRPr="00BD1F50" w:rsidSect="00AF2B4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49"/>
    <w:rsid w:val="00177DBF"/>
    <w:rsid w:val="00AF2B49"/>
    <w:rsid w:val="00BD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FFBA"/>
  <w15:chartTrackingRefBased/>
  <w15:docId w15:val="{FBDC08A2-0C3E-40FD-8805-78FBFBBB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B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liyang</dc:creator>
  <cp:keywords/>
  <dc:description/>
  <cp:lastModifiedBy>王 浩</cp:lastModifiedBy>
  <cp:revision>2</cp:revision>
  <dcterms:created xsi:type="dcterms:W3CDTF">2023-07-28T09:41:00Z</dcterms:created>
  <dcterms:modified xsi:type="dcterms:W3CDTF">2023-07-28T09:41:00Z</dcterms:modified>
</cp:coreProperties>
</file>