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重点高层次人才认定标准</w:t>
      </w: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</w:p>
    <w:p>
      <w:pPr>
        <w:jc w:val="both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lang w:val="en-US" w:eastAsia="zh-CN" w:bidi="ar"/>
        </w:rPr>
        <w:t>根据甬新党发〔2020〕27号、甬新人社〔2021〕70号文件,高层次人才须在新区企业（垂直管理单位、新区委属企业及其全资子公司、三产税源型企业除外）工作，且符合下列条件之一：</w:t>
      </w:r>
    </w:p>
    <w:p>
      <w:pPr>
        <w:pStyle w:val="3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1.按照《宁波市人才分类目录》，经市级部门认定的顶尖人才、特优人才、领军人才、拔尖人才、高级人才等五类人才；</w:t>
      </w: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全日制硕士研究生学历学位、副高职称或高级技师职业资格后，在新区服务满5年，从事学术、科技研究且在新区有创新成果的人才；</w:t>
      </w: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3.新区“前湾领航”计划项目核心成员；</w:t>
      </w: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4.作用发挥明显（在新区服务5年或在新区有创新成果）且计税年薪连续两年达到50万元以上的人才；</w:t>
      </w: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5.其他相当于以上层次的人才。</w:t>
      </w:r>
    </w:p>
    <w:p>
      <w:pPr>
        <w:jc w:val="left"/>
        <w:rPr>
          <w:rFonts w:ascii="仿宋" w:hAnsi="仿宋" w:eastAsia="仿宋"/>
          <w:color w:val="FF0000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pStyle w:val="6"/>
        <w:widowControl/>
        <w:ind w:firstLine="0" w:firstLineChars="0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创新成果（荣誉）范围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一、论文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在CN（国内）公开核心期刊或ISSN（国际）期刊上发表的论文。国内公开发表的核心期刊是指列入“北京大学核心期刊目录”和清华大学刊出的“中文核心期刊要目总览”期刊，要求作者署名列前3名。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firstLine="0" w:firstLineChars="0"/>
        <w:textAlignment w:val="auto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二、专利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宋体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授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权的发明专利,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以专利证书时间为准，要求前3位完成人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宋体" w:eastAsia="仿宋_GB2312" w:cs="Tahoma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  <w:highlight w:val="none"/>
        </w:rPr>
        <w:t>结题的科研项目。科研项目是指须列入</w:t>
      </w:r>
      <w:r>
        <w:rPr>
          <w:rFonts w:hint="eastAsia" w:ascii="仿宋_GB2312" w:hAnsi="宋体" w:eastAsia="仿宋_GB2312" w:cs="Tahoma"/>
          <w:kern w:val="0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宋体" w:eastAsia="仿宋_GB2312" w:cs="Tahoma"/>
          <w:kern w:val="0"/>
          <w:sz w:val="32"/>
          <w:szCs w:val="32"/>
          <w:highlight w:val="none"/>
        </w:rPr>
        <w:t>级及以上政府研究目录或经</w:t>
      </w:r>
      <w:r>
        <w:rPr>
          <w:rFonts w:hint="eastAsia" w:ascii="仿宋_GB2312" w:hAnsi="宋体" w:eastAsia="仿宋_GB2312" w:cs="Tahoma"/>
          <w:kern w:val="0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宋体" w:eastAsia="仿宋_GB2312" w:cs="Tahoma"/>
          <w:kern w:val="0"/>
          <w:sz w:val="32"/>
          <w:szCs w:val="32"/>
          <w:highlight w:val="none"/>
        </w:rPr>
        <w:t>级以上政府批准，要求国家级、省级项目署名列前5名，其他级别课题署名列前3名。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荣誉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宋体" w:eastAsia="仿宋_GB2312" w:cs="Tahoma"/>
          <w:color w:val="00000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sz w:val="32"/>
          <w:szCs w:val="32"/>
        </w:rPr>
        <w:t>获得国家、浙江省及宁波市级党委、政府部门和工青妇组织授予的个人荣誉或奖励；区级荣誉或奖励只限宁波杭州湾新区党工委或管委会授予的，不包括新区管委会各部门授予的。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宋体" w:eastAsia="仿宋_GB2312" w:cs="Tahoma"/>
          <w:color w:val="00000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sz w:val="32"/>
          <w:szCs w:val="32"/>
        </w:rPr>
        <w:t>荣誉所获时间以证书注明年度为准，未注明年度的以文件时间为准，无文件的以证书落款时间为准。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标准制定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宋体" w:eastAsia="仿宋_GB2312" w:cs="Tahoma"/>
          <w:color w:val="00000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sz w:val="32"/>
          <w:szCs w:val="32"/>
        </w:rPr>
        <w:t>参与国际、国家行业标准制定、新产品新技术研发等其他创新成果，要求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前3位完成人</w:t>
      </w:r>
      <w:r>
        <w:rPr>
          <w:rFonts w:hint="eastAsia" w:ascii="仿宋_GB2312" w:hAnsi="宋体" w:eastAsia="仿宋_GB2312" w:cs="Tahoma"/>
          <w:color w:val="00000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67D212-5C11-479B-9D4C-F8372C2BE3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E6E413E-FA7D-407C-96BC-27FCA146D4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AEADC2E-B1F0-48E1-999D-66B39846D30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E23E2CD-97EB-4DE4-9A4C-95C09AF96A3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D238011E-05C0-4A50-9003-FC2DC472A90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6" w:fontKey="{B048A79A-DA22-492F-8C91-62B0E0C1421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F3BB6"/>
    <w:multiLevelType w:val="singleLevel"/>
    <w:tmpl w:val="C0DF3BB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58D17DEC"/>
    <w:rsid w:val="58D1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DJF"/>
    <w:basedOn w:val="1"/>
    <w:qFormat/>
    <w:uiPriority w:val="0"/>
    <w:pPr>
      <w:spacing w:line="560" w:lineRule="exact"/>
      <w:ind w:firstLine="800" w:firstLineChars="2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2023-05-10T01:47:00Z</dcterms:created>
  <dc:creator>余孟方</dc:creator>
  <cp:lastModifiedBy>余孟方</cp:lastModifiedBy>
  <dcterms:modified xsi:type="dcterms:W3CDTF">2023-05-10T01:47:32Z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C032B8DE9DFA43A5937A815B517C5AB5_11</vt:lpwstr>
  </property>
</Properties>
</file>