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教育人才类别</w:t>
      </w:r>
    </w:p>
    <w:p>
      <w:pPr>
        <w:spacing w:line="490" w:lineRule="exact"/>
        <w:ind w:firstLine="0" w:firstLineChars="0"/>
        <w:jc w:val="center"/>
        <w:rPr>
          <w:rFonts w:ascii="仿宋_GB2312" w:eastAsia="黑体"/>
          <w:sz w:val="32"/>
          <w:szCs w:val="32"/>
          <w:lang w:val="en"/>
        </w:rPr>
      </w:pPr>
      <w:r>
        <w:rPr>
          <w:rFonts w:ascii="黑体" w:hAnsi="黑体" w:eastAsia="黑体" w:cs="黑体"/>
          <w:sz w:val="32"/>
          <w:szCs w:val="32"/>
          <w:lang w:val="en"/>
        </w:rPr>
        <w:t>(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教育</w:t>
      </w:r>
      <w:r>
        <w:rPr>
          <w:rFonts w:hint="eastAsia" w:ascii="黑体" w:hAnsi="黑体" w:eastAsia="黑体" w:cs="黑体"/>
          <w:sz w:val="32"/>
          <w:szCs w:val="32"/>
          <w:lang w:val="en"/>
        </w:rPr>
        <w:t>人才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类别</w:t>
      </w:r>
      <w:r>
        <w:rPr>
          <w:rFonts w:hint="eastAsia" w:ascii="黑体" w:hAnsi="黑体" w:eastAsia="黑体" w:cs="黑体"/>
          <w:sz w:val="32"/>
          <w:szCs w:val="32"/>
          <w:lang w:val="en"/>
        </w:rPr>
        <w:t>不适用于高校）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一、一类教育人才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具有浙江省特级教师、特级校长或其他省经考核确认的特级教师、特级校长荣誉的教师；具有全国技术能手、省级杰出技能人才、浙江杰出工匠、省级拔尖技能人才、省级首席技师、省工艺美术大师等称号的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2.在聘三级岗及以上正高级职称教师；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3.指导学生在全国数学、物理、化学、生物、信息学奥林匹克竞赛中获得奖牌（或全国竞赛省级赛区复赛一等奖2人次以上）或全国职业技能大赛一等奖且为主要指导教师；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4.经认定与上述人员层</w:t>
      </w:r>
      <w:r>
        <w:rPr>
          <w:rFonts w:ascii="仿宋_GB2312" w:eastAsia="仿宋_GB2312"/>
          <w:sz w:val="32"/>
          <w:szCs w:val="32"/>
        </w:rPr>
        <w:t>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二、二类教育人才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yellow"/>
          <w:u w:val="single"/>
        </w:rPr>
      </w:pPr>
      <w:r>
        <w:rPr>
          <w:rFonts w:ascii="仿宋_GB2312" w:eastAsia="仿宋_GB2312"/>
          <w:sz w:val="32"/>
          <w:szCs w:val="32"/>
        </w:rPr>
        <w:t>1.具有正高级职称的在职教师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省技术能手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浙江工匠；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>2</w:t>
      </w:r>
      <w:r>
        <w:rPr>
          <w:rFonts w:ascii="仿宋_GB2312" w:eastAsia="仿宋_GB2312"/>
          <w:sz w:val="32"/>
          <w:szCs w:val="32"/>
        </w:rPr>
        <w:t>.博士研究生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3.获全国竞赛省级赛区复赛一等奖主要指导教师，全省职业技能大赛一等奖获得者或主要指导教师；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4.经认定与上述人员层次相当的其他人才。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三、三类教育人才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获得地市级名教师名校长、省市级名师工作室领衔者、学科带头人、省教坛新秀等称号的在职骨干教师</w:t>
      </w:r>
      <w:r>
        <w:rPr>
          <w:rFonts w:ascii="仿宋_GB2312" w:eastAsia="仿宋_GB2312"/>
          <w:color w:val="auto"/>
          <w:sz w:val="32"/>
          <w:szCs w:val="32"/>
          <w:u w:val="none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2</w:t>
      </w:r>
      <w:r>
        <w:rPr>
          <w:rFonts w:ascii="仿宋_GB2312" w:eastAsia="仿宋_GB2312"/>
          <w:color w:val="auto"/>
          <w:sz w:val="32"/>
          <w:szCs w:val="32"/>
          <w:u w:val="none"/>
        </w:rPr>
        <w:t>.经认定与上述人员层次相当的其他人才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3</w:t>
      </w:r>
      <w:r>
        <w:rPr>
          <w:rFonts w:ascii="仿宋_GB2312" w:eastAsia="仿宋_GB2312"/>
          <w:color w:val="auto"/>
          <w:sz w:val="32"/>
          <w:szCs w:val="32"/>
          <w:u w:val="none"/>
        </w:rPr>
        <w:t>.硕士研究生；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  <w:lang w:val="en"/>
        </w:rPr>
        <w:t>北京大学、清华大学、复旦大学、上海交通大学、浙江大学、南京大学、中国科学技术大学、哈尔滨工业大学、西安交通大学、中国人民大学</w:t>
      </w:r>
      <w:r>
        <w:rPr>
          <w:rFonts w:hint="eastAsia" w:ascii="仿宋_GB2312" w:eastAsia="仿宋_GB2312"/>
          <w:sz w:val="32"/>
          <w:szCs w:val="32"/>
          <w:lang w:val="en"/>
        </w:rPr>
        <w:t>、中国科学院大学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  <w:lang w:val="en"/>
        </w:rPr>
        <w:t>北京师范大学、华东师范大学</w:t>
      </w:r>
      <w:r>
        <w:rPr>
          <w:rFonts w:hint="eastAsia" w:ascii="仿宋_GB2312" w:eastAsia="仿宋_GB2312"/>
          <w:sz w:val="32"/>
          <w:szCs w:val="32"/>
          <w:lang w:val="en"/>
        </w:rPr>
        <w:t>本科毕业生；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  <w:lang w:val="en"/>
        </w:rPr>
        <w:t>北京航空航天大学、北京理工大学、中国农业大学、中央民族大学、南开大学、天津大学、大连理工大学、吉林大学、同济大学、东南大学、厦门大学、山东大学、中国海洋大学、武汉大学、华中科技大学、中南大学、中山大学、华南理工大学、四川大学、重庆大学、电子科技大学、西北工业大学、兰州大学、中国人民解放军国防科技大学等高校本科毕业生</w:t>
      </w:r>
      <w:r>
        <w:rPr>
          <w:rFonts w:hint="eastAsia" w:ascii="仿宋_GB2312" w:eastAsia="仿宋_GB2312"/>
          <w:sz w:val="32"/>
          <w:szCs w:val="32"/>
          <w:lang w:val="en"/>
        </w:rPr>
        <w:t>，综合成绩年段排名前</w:t>
      </w:r>
      <w:r>
        <w:rPr>
          <w:rFonts w:hint="eastAsia" w:ascii="仿宋_GB2312" w:eastAsia="仿宋_GB2312"/>
          <w:sz w:val="32"/>
          <w:szCs w:val="32"/>
        </w:rPr>
        <w:t>70%。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四、四类教育人才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.东北师范大学、华中师范大学、陕西师范大学、西南大学、</w:t>
      </w:r>
      <w:r>
        <w:rPr>
          <w:rFonts w:hint="eastAsia" w:ascii="仿宋_GB2312" w:eastAsia="仿宋_GB2312"/>
          <w:sz w:val="32"/>
          <w:szCs w:val="32"/>
        </w:rPr>
        <w:t>首都师范大学、湖南师范大学、华南师范大学、南京师范大学、</w:t>
      </w:r>
      <w:r>
        <w:rPr>
          <w:rFonts w:ascii="仿宋_GB2312" w:eastAsia="仿宋_GB2312"/>
          <w:sz w:val="32"/>
          <w:szCs w:val="32"/>
        </w:rPr>
        <w:t>浙江师范大学、杭州师范大学师范专业本科毕业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，综合成绩年段排名前50%；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双一流高校建设学科相关专业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，省属重点及以上高校师范专业</w:t>
      </w:r>
      <w:r>
        <w:rPr>
          <w:rFonts w:hint="eastAsia" w:ascii="仿宋_GB2312" w:eastAsia="仿宋_GB2312"/>
          <w:sz w:val="32"/>
          <w:szCs w:val="32"/>
        </w:rPr>
        <w:t>或职教专业课相关专业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南京特殊教育师范学院特殊教育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康复专业本科毕业生，天津职业技术师范大学职教专业课相关专业本科毕业生，</w:t>
      </w:r>
      <w:r>
        <w:rPr>
          <w:rFonts w:ascii="仿宋_GB2312" w:eastAsia="仿宋_GB2312"/>
          <w:sz w:val="32"/>
          <w:szCs w:val="32"/>
        </w:rPr>
        <w:t>综合成绩年段排名前30%；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省内</w:t>
      </w:r>
      <w:r>
        <w:rPr>
          <w:rFonts w:ascii="仿宋_GB2312" w:eastAsia="仿宋_GB2312"/>
          <w:sz w:val="32"/>
          <w:szCs w:val="32"/>
          <w:highlight w:val="none"/>
        </w:rPr>
        <w:t>高校师范</w:t>
      </w:r>
      <w:r>
        <w:rPr>
          <w:rFonts w:hint="eastAsia" w:ascii="仿宋_GB2312" w:eastAsia="仿宋_GB2312"/>
          <w:sz w:val="32"/>
          <w:szCs w:val="32"/>
          <w:highlight w:val="none"/>
        </w:rPr>
        <w:t>类</w:t>
      </w:r>
      <w:r>
        <w:rPr>
          <w:rFonts w:ascii="仿宋_GB2312" w:eastAsia="仿宋_GB2312"/>
          <w:sz w:val="32"/>
          <w:szCs w:val="32"/>
          <w:highlight w:val="none"/>
        </w:rPr>
        <w:t>专业本科毕业，综合成绩年段排名前20%。</w:t>
      </w:r>
    </w:p>
    <w:p>
      <w:pPr>
        <w:rPr>
          <w:highlight w:val="cyan"/>
        </w:rPr>
      </w:pPr>
    </w:p>
    <w:sectPr>
      <w:footerReference r:id="rId3" w:type="default"/>
      <w:pgSz w:w="11906" w:h="16838"/>
      <w:pgMar w:top="164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C5F5"/>
    <w:rsid w:val="00DA68D1"/>
    <w:rsid w:val="56EB2CF7"/>
    <w:rsid w:val="625936A1"/>
    <w:rsid w:val="636D12B5"/>
    <w:rsid w:val="7FF7C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2022-10-20T17:43:00Z</dcterms:created>
  <dc:creator>unis</dc:creator>
  <cp:lastModifiedBy>_Tr y.</cp:lastModifiedBy>
  <dcterms:modified xsi:type="dcterms:W3CDTF">2022-11-05T00:46:11Z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E605BD815583473ABB9E2C42DA408712</vt:lpwstr>
  </property>
</Properties>
</file>