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政府专职消防队员体能测试项目及标准</w:t>
      </w:r>
    </w:p>
    <w:p>
      <w:pPr>
        <w:pStyle w:val="2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10"/>
        <w:gridCol w:w="62"/>
        <w:gridCol w:w="660"/>
        <w:gridCol w:w="49"/>
        <w:gridCol w:w="708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    目</w:t>
            </w:r>
          </w:p>
        </w:tc>
        <w:tc>
          <w:tcPr>
            <w:tcW w:w="7362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100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95 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90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85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80 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75 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70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65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60 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szCs w:val="21"/>
              </w:rPr>
              <w:t>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（分、秒）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12′30″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12′40″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12′50″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13′10″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13′30″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13′50″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14′30″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</w:rPr>
              <w:t>14′50″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7" w:type="dxa"/>
            <w:vMerge w:val="restart"/>
            <w:tcBorders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单杠引体向上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个</w:t>
            </w:r>
            <w:r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17" w:type="dxa"/>
            <w:vMerge w:val="continue"/>
            <w:tcBorders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2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双杠臂屈伸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个</w:t>
            </w:r>
            <w:r>
              <w:rPr>
                <w:rFonts w:eastAsia="黑体"/>
                <w:color w:val="000000"/>
                <w:szCs w:val="21"/>
              </w:rPr>
              <w:t>）</w:t>
            </w:r>
          </w:p>
        </w:tc>
        <w:tc>
          <w:tcPr>
            <w:tcW w:w="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7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5"/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2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2.按照规定动作要领完成动作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下弯时颈部与</w:t>
            </w:r>
            <w:r>
              <w:rPr>
                <w:rFonts w:eastAsia="仿宋_GB2312"/>
                <w:color w:val="000000"/>
                <w:szCs w:val="21"/>
              </w:rPr>
              <w:t>杠面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平行</w:t>
            </w:r>
            <w:r>
              <w:rPr>
                <w:rFonts w:eastAsia="仿宋_GB2312"/>
                <w:color w:val="000000"/>
                <w:szCs w:val="21"/>
              </w:rPr>
              <w:t>、身体不得摆动、悬垂时双肘关节伸直；脚触及地面或立柱，结束考核。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备    注</w:t>
            </w:r>
          </w:p>
        </w:tc>
        <w:tc>
          <w:tcPr>
            <w:tcW w:w="8133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每项</w:t>
            </w:r>
            <w:r>
              <w:rPr>
                <w:rFonts w:eastAsia="仿宋_GB2312"/>
                <w:color w:val="000000"/>
                <w:szCs w:val="21"/>
              </w:rPr>
              <w:t>成绩最高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szCs w:val="21"/>
              </w:rPr>
              <w:t>分，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体能总成绩为三项的平均分，为体能成绩分数。</w:t>
            </w:r>
            <w:bookmarkStart w:id="0" w:name="_GoBack"/>
            <w:bookmarkEnd w:id="0"/>
          </w:p>
        </w:tc>
      </w:tr>
    </w:tbl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2022-09-19T02:02:02Z</dcterms:created>
  <dc:creator>admin</dc:creator>
  <cp:lastModifiedBy>Pld</cp:lastModifiedBy>
  <dcterms:modified xsi:type="dcterms:W3CDTF">2022-09-19T02:14:05Z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