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afterLines="10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雷山县202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年学前教育阶段学校公开招聘政府购买服务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备案编制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专任教师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和校医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岗位一览表</w:t>
      </w:r>
    </w:p>
    <w:tbl>
      <w:tblPr>
        <w:tblStyle w:val="2"/>
        <w:tblW w:w="845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36"/>
        <w:gridCol w:w="552"/>
        <w:gridCol w:w="580"/>
        <w:gridCol w:w="656"/>
        <w:gridCol w:w="2269"/>
        <w:gridCol w:w="650"/>
        <w:gridCol w:w="762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职位类别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招聘计划人数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丹江镇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雷山县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陶尧幼儿园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、固鲁幼儿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、乌东幼儿国、郎当幼儿园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西江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雷山县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西江中心幼儿园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、营上幼儿园、长乌幼儿园、乌尧幼儿园、黄里幼儿园、羊吾幼儿园、龙塘幼儿园各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1人，开觉幼儿园2人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永乐镇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雷山县户籍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永乐中心幼儿园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，乔洛幼儿园、排告幼儿园、草坪幼儿园、乔歪幼儿园各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大塘镇、望丰乡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雷山县户籍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大塘镇大塘幼儿园、莲花幼儿园、新塘幼儿园、桥港幼儿园、独南幼儿园、掌雷幼儿园、年显幼儿园、南脑幼儿园、乔兑幼儿园各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1人，望丰乡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乌的幼儿园、排肖幼儿园各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达地水族乡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、方祥乡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雷山县户籍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达地中心幼儿园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、也蒙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，方祥乡方祥中心幼儿园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1、雀幼儿园1人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校医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  <w:t>丹江镇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6"/>
                <w:szCs w:val="16"/>
              </w:rPr>
              <w:t>临床医学、口腔医学、预防医学、食品卫生与营养学、儿科学、妇幼保健医学、中西医临床医学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黔东州户籍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丹江第一幼儿园、丹江第三幼儿园各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00000"/>
    <w:rsid w:val="34CB7394"/>
    <w:rsid w:val="480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912</Characters>
  <Lines>0</Lines>
  <Paragraphs>0</Paragraphs>
  <TotalTime>0</TotalTime>
  <ScaleCrop>false</ScaleCrop>
  <LinksUpToDate>false</LinksUpToDate>
  <CharactersWithSpaces>912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2022-08-17T08:04:00Z</dcterms:created>
  <dc:creator>Administrator</dc:creator>
  <cp:lastModifiedBy>%E5%B0%8F%E5%B0%8F%E5%B9%B4%E7%BA%AA</cp:lastModifiedBy>
  <dcterms:modified xsi:type="dcterms:W3CDTF">2022-08-17T08:06:39Z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62F5F08AD33C40E298C2536ED3C65D9D</vt:lpwstr>
  </property>
</Properties>
</file>