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tbl>
      <w:tblPr>
        <w:tblStyle w:val="4"/>
        <w:tblpPr w:leftFromText="180" w:rightFromText="180" w:vertAnchor="text" w:horzAnchor="page" w:tblpX="504" w:tblpY="617"/>
        <w:tblOverlap w:val="never"/>
        <w:tblW w:w="11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65"/>
        <w:gridCol w:w="990"/>
        <w:gridCol w:w="716"/>
        <w:gridCol w:w="1819"/>
        <w:gridCol w:w="1289"/>
        <w:gridCol w:w="885"/>
        <w:gridCol w:w="1620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邯郸市体育局2022年博硕人才岗位需求表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专业/研究领域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0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邯郸市体育局（1人）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邯郸市体育运动学校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美术教师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美术、美术学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事业单位工资待遇+绩效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0310-5501013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pStyle w:val="2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1891"/>
    <w:rsid w:val="50E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Cs w:val="20"/>
      <w:lang w:eastAsia="en-U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2022-06-20T08:21:59Z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