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800"/>
        <w:gridCol w:w="775"/>
        <w:gridCol w:w="925"/>
        <w:gridCol w:w="4975"/>
        <w:gridCol w:w="687"/>
        <w:gridCol w:w="1338"/>
        <w:gridCol w:w="862"/>
        <w:gridCol w:w="3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4932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天津市应急管理局2022年事业单位公开招聘工作人员计划表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9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招聘单位：天津市应急管理事务中心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来源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简介</w:t>
            </w: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人数合计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专技岗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天津市应急管理局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岗位一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地震、地质灾害防治工作，地震和地质灾害实时监控、预案制定、隐患排查、队伍物资能力建设、抢险救援技术支撑等工作。对体力有一定要求，需要背负44公斤地震仪及通信供电设备参与救援处置，需参加24小时昼夜值班值守工作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地质类、地球物理学类专业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应届毕业生；硕士及以上学位；硕士研究生年龄30周岁及以下，博士研究生年龄35周岁及以下；男性。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岗位二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防汛抗旱工作，实时监控雨情、水情和水利工程变化情况，对洪涝灾害风险进行会商和研判；监督检查、抢险救援、转移安置危险区域人员等工作，为防汛指挥调度决策提供技术支撑。对体力有一定要求，需要背负32公斤的移动排水泵或50公斤的移动照明灯参与救援处置，需参加24小时昼夜值班值守工作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水利类专业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应届毕业生；硕士及以上学位；硕士研究生年龄30周岁及以下，博士研究生年龄35周岁及以下；男性。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4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岗位三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从事应急管理、防灾减灾救灾、自然灾害综合风险评估和监测预警等技术工作。需参加24小时昼夜值班值守工作。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地理科学类、测绘类、管理科学与工程类专业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应届毕业生；硕士及以上学位；硕士研究生年龄30周岁及以下，博士研究生年龄35周岁及以下。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岗位四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应急管理、防灾减灾救灾、安全生产统计分析工作，涉及隐患排查、自然灾害、物资队伍、应急预案等各个方面，基于综合数据统计分析，为全市应急救援、指挥决策提供重要参考。需参加24小时昼夜值班值守工作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280" w:lineRule="exact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安全科学与工程类、统计学类专业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应届毕业生；硕士及以上学位；硕士研究生年龄30周岁及以下，博士研究生年龄35周岁及以下。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paperSrc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34AB5"/>
    <w:rsid w:val="02696D51"/>
    <w:rsid w:val="2CFB120F"/>
    <w:rsid w:val="B9DF03AB"/>
    <w:rsid w:val="EDD34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2022-06-09T02:00:00Z</dcterms:created>
  <dc:creator>王知睿</dc:creator>
  <cp:lastModifiedBy>_Tr y.</cp:lastModifiedBy>
  <dcterms:modified xsi:type="dcterms:W3CDTF">2022-06-14T02:08:14Z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C7424AA8C2784BCC83B6A8635DE11E76</vt:lpwstr>
  </property>
</Properties>
</file>