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 w:ascii="宋体" w:hAnsi="宋体"/>
          <w:b/>
          <w:bCs/>
          <w:color w:val="000000"/>
          <w:position w:val="6"/>
          <w:sz w:val="20"/>
          <w:szCs w:val="24"/>
          <w:lang w:val="zh-CN"/>
        </w:rPr>
        <w:t>就业困难人员申报认定表</w:t>
      </w:r>
    </w:p>
    <w:tbl>
      <w:tblPr>
        <w:tblW w:w="1023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0"/>
        <w:gridCol w:w="1476"/>
        <w:gridCol w:w="1370"/>
        <w:gridCol w:w="789"/>
        <w:gridCol w:w="1579"/>
        <w:gridCol w:w="994"/>
        <w:gridCol w:w="1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身份证号码（就业创业证）</w:t>
            </w:r>
          </w:p>
        </w:tc>
        <w:tc>
          <w:tcPr>
            <w:tcW w:w="363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文化程度</w:t>
            </w: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户口性质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户籍所在地</w:t>
            </w:r>
          </w:p>
        </w:tc>
        <w:tc>
          <w:tcPr>
            <w:tcW w:w="363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专业技术职务</w:t>
            </w:r>
          </w:p>
        </w:tc>
        <w:tc>
          <w:tcPr>
            <w:tcW w:w="363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363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就业困难人员类型：□“4050”人员 □城镇零就业家庭成员、农村零转移就业贫困家庭成员 □抚养未成年子女的单亲家庭 □享受最低生活保障人员 □持《中华人民共和国残疾人证》人员 □连续失业一年以上人员 □因失去土地等原因难以实现就业的人员 □贫困家庭高校毕业生就业人员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家庭成员情况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4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与本人关系</w:t>
            </w:r>
          </w:p>
        </w:tc>
        <w:tc>
          <w:tcPr>
            <w:tcW w:w="4812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工作或学习单位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1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1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1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tblCellSpacing w:w="0" w:type="dxa"/>
          <w:jc w:val="center"/>
        </w:trPr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1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  <w:t>注：此表一式两份。乡镇（街道）人力资源和社会保障所一份，报选取公共就业服务机构备案一份。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02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2022-04-02T01:31:27Z</dcterms:created>
  <dc:creator>Administrator</dc:creator>
  <cp:lastModifiedBy>Administrator</cp:lastModifiedBy>
  <dcterms:modified xsi:type="dcterms:W3CDTF">2022-04-02T01:34:17Z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F904F59BF4BA450780C01793D9F6CC19</vt:lpwstr>
  </property>
</Properties>
</file>