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  <w:bCs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>附件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bookmarkEnd w:id="0"/>
    <w:p>
      <w:pPr>
        <w:spacing w:line="540" w:lineRule="exact"/>
        <w:jc w:val="center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常山县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英才荟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紧缺急需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人才招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计划表</w:t>
      </w:r>
    </w:p>
    <w:tbl>
      <w:tblPr>
        <w:tblStyle w:val="5"/>
        <w:tblW w:w="9555" w:type="dxa"/>
        <w:tblInd w:w="-28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05"/>
        <w:gridCol w:w="1770"/>
        <w:gridCol w:w="5115"/>
        <w:gridCol w:w="10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学历要求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专业及其他要求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计划数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城建规划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具有“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高校全日制本科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且取得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学位的毕业生；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位列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ARWU、THE、U.S.News、QS世界大学排名最新榜单前300名的国（境）外高校全日制本科及以上学历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且取得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学位的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毕业生；</w:t>
            </w:r>
          </w:p>
          <w:p>
            <w:pPr>
              <w:widowControl/>
              <w:spacing w:line="26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普通高校全日制研究生且取得硕士及以上学位的毕业生。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土木工程、工程造价、建筑学、水利水电工程、智慧建筑与建造</w:t>
            </w:r>
          </w:p>
          <w:p>
            <w:pPr>
              <w:widowControl/>
              <w:spacing w:line="260" w:lineRule="exact"/>
              <w:jc w:val="both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土木工程、建设工程管理、建筑学、水利水电建设与管理、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智慧城市建造与管理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城建规划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园林、风景园林、城乡规划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风景园林学、园林艺术设计、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城市设计及其理论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城市规划与设计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交通工程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交通运输、交通工程、交通设备与控制工程、港口航道与海岸工程、船舶与海洋工程、道路桥梁与渡河工程、能源与动力工程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交通安全与工程管理、交通运输工程、交通运输规划、港口、海岸及近海工程、桥梁与隧道工程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农业资源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 xml:space="preserve">中药学、中药资源与开发、中药制药、中草药栽培与鉴定、植物保护、植物科学与技术      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line="260" w:lineRule="exact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中药学、生药学、药剂学、生物化学与分子生物学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农业资源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 xml:space="preserve">地理科学类、农业经济管理类           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农林经济管理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林水资源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 xml:space="preserve">林学，森林工程，食品科学与工程         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林学，经济林学，粮食、油脂及植物蛋白工程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林水资源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地质学类、野生动物与自然保护区管理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水文与水资源工程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水土保持与荒漠化防治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地质学类、自然保护区学 、生态学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水土保持工程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水土保持与荒漠化防治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土地资源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 xml:space="preserve">地理信息科学、自然地理与资源环境、地理科学、土地资源管理、遥感科学与技术         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地图学与地理信息系统、资源环境与遥感信息、地球系统科学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土地资源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 xml:space="preserve">地质工程、资源勘查工程、地下水科学与工程、采矿工程、矿物资源工程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地质工程、地质资源与地质工程、矿产普查与勘探、水文学与水资源、资源与环境遥感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数字经济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计算机类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计算机科学与技术类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210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经济管理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经济统计学、经济工程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金融学、金融工程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数字经济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大数据金融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发展经济学、金融学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、金融工程学、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管理经济学、企业经济学、产业经济学、经济大数据分析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商业大数据分析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检验检定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分子科学与工程、生物科学、测控技术与仪器、精密仪器、食品安全与检测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生物资源化学、精密仪器及机械、仪器科学与技术、食品生物技术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Arial Unicode MS" w:cs="Arial Unicode MS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思想政治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普通高校全日制研究生且取得硕士及以上学位的毕业生。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马克思主义哲学、哲学、政治学、思想政治教育、中共党史、马克思主义中国化研究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文化艺术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</w:rPr>
              <w:t>“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双一流</w:t>
            </w:r>
            <w:r>
              <w:rPr>
                <w:rFonts w:ascii="仿宋_GB2312" w:hAnsi="仿宋_GB2312" w:eastAsia="仿宋_GB2312" w:cs="仿宋_GB2312"/>
                <w:kern w:val="0"/>
              </w:rPr>
              <w:t>”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建设高校相关专业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中国传媒大学、浙江传媒学院、山西传媒学院、中国传媒大学南广学院的全日制普通高校本科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学历且取得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相应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的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毕业生；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全日制普通高校研究生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学历且取得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相应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的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lang w:val="zh-TW" w:eastAsia="zh-TW"/>
              </w:rPr>
              <w:t>网络与新媒体、影视摄影与制作、数字媒体艺术、视觉传达设计、广播电视编导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高层次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lang w:val="zh-TW" w:eastAsia="zh-TW"/>
              </w:rPr>
              <w:t>人才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1.“C9联盟”高校全日制本科及以上学历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且取得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学位的毕业生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；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auto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具有“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高校全日制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且取得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学历且取得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相应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的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TW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zh-TW" w:eastAsia="zh-CN"/>
              </w:rPr>
              <w:t>位列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ARWU、THE、U.S.News、QS世界大学排名最新榜单前300名的国（境）外高校全日制硕士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学历且取得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相应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学位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TW" w:eastAsia="zh-CN"/>
              </w:rPr>
              <w:t>的</w:t>
            </w: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lang w:val="zh-TW" w:eastAsia="zh-TW"/>
              </w:rPr>
              <w:t>不限专业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2022-03-01T06:46:57Z</dcterms:created>
  <dc:creator>Administrator</dc:creator>
  <cp:lastModifiedBy>Administrator</cp:lastModifiedBy>
  <dcterms:modified xsi:type="dcterms:W3CDTF">2022-03-01T06:49:13Z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