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FE" w:rsidRPr="004921B0" w:rsidRDefault="00A030FE" w:rsidP="00A030FE">
      <w:pPr>
        <w:spacing w:line="600" w:lineRule="exact"/>
        <w:rPr>
          <w:rFonts w:ascii="Times New Roman" w:eastAsia="华文中宋" w:hAnsi="Times New Roman"/>
          <w:color w:val="0D0D0D" w:themeColor="text1" w:themeTint="F2"/>
          <w:sz w:val="32"/>
          <w:szCs w:val="18"/>
        </w:rPr>
      </w:pPr>
      <w:r w:rsidRPr="004921B0">
        <w:rPr>
          <w:rFonts w:ascii="Times New Roman" w:eastAsia="华文中宋" w:hAnsi="Times New Roman"/>
          <w:color w:val="0D0D0D" w:themeColor="text1" w:themeTint="F2"/>
          <w:sz w:val="32"/>
          <w:szCs w:val="18"/>
        </w:rPr>
        <w:t>附件</w:t>
      </w:r>
      <w:r w:rsidR="00281492">
        <w:rPr>
          <w:rFonts w:ascii="Times New Roman" w:eastAsia="华文中宋" w:hAnsi="Times New Roman"/>
          <w:color w:val="0D0D0D" w:themeColor="text1" w:themeTint="F2"/>
          <w:sz w:val="32"/>
          <w:szCs w:val="18"/>
        </w:rPr>
        <w:t>2</w:t>
      </w:r>
    </w:p>
    <w:p w:rsidR="00A030FE" w:rsidRPr="004921B0" w:rsidRDefault="00A030FE" w:rsidP="00A030FE">
      <w:pPr>
        <w:spacing w:line="560" w:lineRule="exact"/>
        <w:jc w:val="center"/>
        <w:rPr>
          <w:rFonts w:ascii="Times New Roman" w:eastAsia="华文中宋" w:hAnsi="Times New Roman"/>
          <w:b/>
          <w:color w:val="0D0D0D" w:themeColor="text1" w:themeTint="F2"/>
          <w:sz w:val="40"/>
        </w:rPr>
      </w:pPr>
      <w:r w:rsidRPr="004921B0">
        <w:rPr>
          <w:rFonts w:ascii="Times New Roman" w:eastAsia="华文中宋" w:hAnsi="Times New Roman"/>
          <w:b/>
          <w:color w:val="0D0D0D" w:themeColor="text1" w:themeTint="F2"/>
          <w:sz w:val="40"/>
        </w:rPr>
        <w:t>江苏省农业科学院公开招聘高层次人才</w:t>
      </w:r>
    </w:p>
    <w:p w:rsidR="00A030FE" w:rsidRPr="004921B0" w:rsidRDefault="00A030FE" w:rsidP="00A030FE">
      <w:pPr>
        <w:spacing w:line="560" w:lineRule="exact"/>
        <w:jc w:val="center"/>
        <w:rPr>
          <w:rFonts w:ascii="Times New Roman" w:eastAsia="华文中宋" w:hAnsi="Times New Roman"/>
          <w:b/>
          <w:color w:val="0D0D0D" w:themeColor="text1" w:themeTint="F2"/>
          <w:sz w:val="40"/>
        </w:rPr>
      </w:pPr>
      <w:r w:rsidRPr="004921B0">
        <w:rPr>
          <w:rFonts w:ascii="Times New Roman" w:eastAsia="华文中宋" w:hAnsi="Times New Roman"/>
          <w:b/>
          <w:color w:val="0D0D0D" w:themeColor="text1" w:themeTint="F2"/>
          <w:sz w:val="40"/>
        </w:rPr>
        <w:t>综合</w:t>
      </w:r>
      <w:r w:rsidR="00145FE0">
        <w:rPr>
          <w:rFonts w:ascii="Times New Roman" w:eastAsia="华文中宋" w:hAnsi="Times New Roman" w:hint="eastAsia"/>
          <w:b/>
          <w:color w:val="0D0D0D" w:themeColor="text1" w:themeTint="F2"/>
          <w:sz w:val="40"/>
        </w:rPr>
        <w:t>评议</w:t>
      </w:r>
      <w:r w:rsidRPr="004921B0">
        <w:rPr>
          <w:rFonts w:ascii="Times New Roman" w:eastAsia="华文中宋" w:hAnsi="Times New Roman"/>
          <w:b/>
          <w:color w:val="0D0D0D" w:themeColor="text1" w:themeTint="F2"/>
          <w:sz w:val="40"/>
        </w:rPr>
        <w:t>评分规则</w:t>
      </w:r>
    </w:p>
    <w:p w:rsidR="00A030FE" w:rsidRPr="004921B0" w:rsidRDefault="00A030FE" w:rsidP="00A030FE">
      <w:pPr>
        <w:spacing w:beforeLines="50" w:before="156"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本综合</w:t>
      </w:r>
      <w:r w:rsidR="00145FE0">
        <w:rPr>
          <w:rFonts w:ascii="Times New Roman" w:eastAsia="仿宋_GB2312" w:hAnsi="Times New Roman" w:hint="eastAsia"/>
          <w:color w:val="0D0D0D" w:themeColor="text1" w:themeTint="F2"/>
          <w:sz w:val="32"/>
        </w:rPr>
        <w:t>评议</w:t>
      </w:r>
      <w:r w:rsidR="00145FE0">
        <w:rPr>
          <w:rFonts w:ascii="Times New Roman" w:eastAsia="仿宋_GB2312" w:hAnsi="Times New Roman"/>
          <w:color w:val="0D0D0D" w:themeColor="text1" w:themeTint="F2"/>
          <w:sz w:val="32"/>
        </w:rPr>
        <w:t>评分规则仅适用于我院对公开招聘高层次人才应聘人员进行综合</w:t>
      </w:r>
      <w:r w:rsidR="00145FE0">
        <w:rPr>
          <w:rFonts w:ascii="Times New Roman" w:eastAsia="仿宋_GB2312" w:hAnsi="Times New Roman" w:hint="eastAsia"/>
          <w:color w:val="0D0D0D" w:themeColor="text1" w:themeTint="F2"/>
          <w:sz w:val="32"/>
        </w:rPr>
        <w:t>评议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，并根据综合</w:t>
      </w:r>
      <w:r w:rsidR="00145FE0">
        <w:rPr>
          <w:rFonts w:ascii="Times New Roman" w:eastAsia="仿宋_GB2312" w:hAnsi="Times New Roman" w:hint="eastAsia"/>
          <w:color w:val="0D0D0D" w:themeColor="text1" w:themeTint="F2"/>
          <w:sz w:val="32"/>
        </w:rPr>
        <w:t>评议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从高到低的顺序和各招聘岗位拟聘用人数，在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1:3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的比例范围内确定面试人选。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黑体" w:hAnsi="Times New Roman"/>
          <w:color w:val="0D0D0D" w:themeColor="text1" w:themeTint="F2"/>
          <w:sz w:val="32"/>
        </w:rPr>
        <w:t>一、基础及潜力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（本项可累加，最高不超过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30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分）</w:t>
      </w:r>
    </w:p>
    <w:p w:rsidR="00A030FE" w:rsidRPr="004921B0" w:rsidRDefault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1.</w:t>
      </w:r>
      <w:r w:rsidR="00514496">
        <w:rPr>
          <w:rFonts w:ascii="Times New Roman" w:eastAsia="仿宋_GB2312" w:hAnsi="Times New Roman" w:hint="eastAsia"/>
          <w:color w:val="0D0D0D" w:themeColor="text1" w:themeTint="F2"/>
          <w:sz w:val="32"/>
        </w:rPr>
        <w:t xml:space="preserve"> </w:t>
      </w:r>
      <w:r w:rsidR="009D5346">
        <w:rPr>
          <w:rFonts w:ascii="Times New Roman" w:eastAsia="仿宋_GB2312" w:hAnsi="Times New Roman" w:hint="eastAsia"/>
          <w:color w:val="0D0D0D" w:themeColor="text1" w:themeTint="F2"/>
          <w:sz w:val="32"/>
        </w:rPr>
        <w:t>学术背景及专业基础优秀</w:t>
      </w:r>
      <w:r w:rsidR="009D5346">
        <w:rPr>
          <w:rFonts w:ascii="Times New Roman" w:eastAsia="仿宋_GB2312" w:hAnsi="Times New Roman" w:hint="eastAsia"/>
          <w:color w:val="0D0D0D" w:themeColor="text1" w:themeTint="F2"/>
          <w:sz w:val="32"/>
        </w:rPr>
        <w:t>16-20</w:t>
      </w:r>
      <w:r w:rsidR="009D5346">
        <w:rPr>
          <w:rFonts w:ascii="Times New Roman" w:eastAsia="仿宋_GB2312" w:hAnsi="Times New Roman" w:hint="eastAsia"/>
          <w:color w:val="0D0D0D" w:themeColor="text1" w:themeTint="F2"/>
          <w:sz w:val="32"/>
        </w:rPr>
        <w:t>分，良好</w:t>
      </w:r>
      <w:r w:rsidR="00B83B1B">
        <w:rPr>
          <w:rFonts w:ascii="Times New Roman" w:eastAsia="仿宋_GB2312" w:hAnsi="Times New Roman" w:hint="eastAsia"/>
          <w:color w:val="0D0D0D" w:themeColor="text1" w:themeTint="F2"/>
          <w:sz w:val="32"/>
        </w:rPr>
        <w:t>8</w:t>
      </w:r>
      <w:r w:rsidR="009D5346">
        <w:rPr>
          <w:rFonts w:ascii="Times New Roman" w:eastAsia="仿宋_GB2312" w:hAnsi="Times New Roman" w:hint="eastAsia"/>
          <w:color w:val="0D0D0D" w:themeColor="text1" w:themeTint="F2"/>
          <w:sz w:val="32"/>
        </w:rPr>
        <w:t>-15</w:t>
      </w:r>
      <w:r w:rsidR="009D5346">
        <w:rPr>
          <w:rFonts w:ascii="Times New Roman" w:eastAsia="仿宋_GB2312" w:hAnsi="Times New Roman" w:hint="eastAsia"/>
          <w:color w:val="0D0D0D" w:themeColor="text1" w:themeTint="F2"/>
          <w:sz w:val="32"/>
        </w:rPr>
        <w:t>分，</w:t>
      </w:r>
      <w:r w:rsidR="00E63671">
        <w:rPr>
          <w:rFonts w:ascii="Times New Roman" w:eastAsia="仿宋_GB2312" w:hAnsi="Times New Roman" w:hint="eastAsia"/>
          <w:color w:val="0D0D0D" w:themeColor="text1" w:themeTint="F2"/>
          <w:sz w:val="32"/>
        </w:rPr>
        <w:t>较好</w:t>
      </w:r>
      <w:r w:rsidR="009D5346">
        <w:rPr>
          <w:rFonts w:ascii="Times New Roman" w:eastAsia="仿宋_GB2312" w:hAnsi="Times New Roman" w:hint="eastAsia"/>
          <w:color w:val="0D0D0D" w:themeColor="text1" w:themeTint="F2"/>
          <w:sz w:val="32"/>
        </w:rPr>
        <w:t>1-</w:t>
      </w:r>
      <w:r w:rsidR="00B83B1B">
        <w:rPr>
          <w:rFonts w:ascii="Times New Roman" w:eastAsia="仿宋_GB2312" w:hAnsi="Times New Roman" w:hint="eastAsia"/>
          <w:color w:val="0D0D0D" w:themeColor="text1" w:themeTint="F2"/>
          <w:sz w:val="32"/>
        </w:rPr>
        <w:t>7</w:t>
      </w:r>
      <w:r w:rsidR="009D5346">
        <w:rPr>
          <w:rFonts w:ascii="Times New Roman" w:eastAsia="仿宋_GB2312" w:hAnsi="Times New Roman" w:hint="eastAsia"/>
          <w:color w:val="0D0D0D" w:themeColor="text1" w:themeTint="F2"/>
          <w:sz w:val="32"/>
        </w:rPr>
        <w:t>分。</w:t>
      </w:r>
    </w:p>
    <w:p w:rsidR="00A030FE" w:rsidRPr="004921B0" w:rsidRDefault="00F5422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>
        <w:rPr>
          <w:rFonts w:ascii="Times New Roman" w:eastAsia="仿宋_GB2312" w:hAnsi="Times New Roman" w:hint="eastAsia"/>
          <w:color w:val="0D0D0D" w:themeColor="text1" w:themeTint="F2"/>
          <w:sz w:val="32"/>
        </w:rPr>
        <w:t>2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.</w:t>
      </w:r>
      <w:r w:rsidR="00514496">
        <w:rPr>
          <w:rFonts w:ascii="Times New Roman" w:eastAsia="仿宋_GB2312" w:hAnsi="Times New Roman" w:hint="eastAsia"/>
          <w:color w:val="0D0D0D" w:themeColor="text1" w:themeTint="F2"/>
          <w:sz w:val="32"/>
        </w:rPr>
        <w:t xml:space="preserve"> 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与应聘岗位学历学位要求一致的</w:t>
      </w:r>
      <w:r w:rsidR="00A030FE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阶段，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毕业论文研究内容的理论或应用价值、创新性达到国际</w:t>
      </w:r>
      <w:r w:rsidR="00A030FE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先进及以上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水平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7-10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分，国内领先水平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4-6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分，</w:t>
      </w:r>
      <w:r w:rsidR="00A030FE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国内先进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水平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1-3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分；如获省级以上优秀毕业论文另加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5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F5422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>
        <w:rPr>
          <w:rFonts w:ascii="Times New Roman" w:eastAsia="仿宋_GB2312" w:hAnsi="Times New Roman" w:hint="eastAsia"/>
          <w:color w:val="0D0D0D" w:themeColor="text1" w:themeTint="F2"/>
          <w:sz w:val="32"/>
        </w:rPr>
        <w:t>3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.</w:t>
      </w:r>
      <w:r w:rsidR="00514496">
        <w:rPr>
          <w:rFonts w:ascii="Times New Roman" w:eastAsia="仿宋_GB2312" w:hAnsi="Times New Roman" w:hint="eastAsia"/>
          <w:color w:val="0D0D0D" w:themeColor="text1" w:themeTint="F2"/>
          <w:sz w:val="32"/>
        </w:rPr>
        <w:t xml:space="preserve"> 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与应聘岗位学历学位要求一致的学习阶段，专业成绩优秀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8-10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分，专业成绩良好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5-7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分，专业成绩合格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1-4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分；如有不及格科目，此项不计分。</w:t>
      </w:r>
    </w:p>
    <w:p w:rsidR="00A030FE" w:rsidRPr="004921B0" w:rsidRDefault="00F5422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>
        <w:rPr>
          <w:rFonts w:ascii="Times New Roman" w:eastAsia="仿宋_GB2312" w:hAnsi="Times New Roman" w:hint="eastAsia"/>
          <w:color w:val="0D0D0D" w:themeColor="text1" w:themeTint="F2"/>
          <w:sz w:val="32"/>
        </w:rPr>
        <w:t>4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.</w:t>
      </w:r>
      <w:r w:rsidR="00514496">
        <w:rPr>
          <w:rFonts w:ascii="Times New Roman" w:eastAsia="仿宋_GB2312" w:hAnsi="Times New Roman" w:hint="eastAsia"/>
          <w:color w:val="0D0D0D" w:themeColor="text1" w:themeTint="F2"/>
          <w:sz w:val="32"/>
        </w:rPr>
        <w:t xml:space="preserve"> 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获得国家级奖学金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11-15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分，获得校级奖学金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6-10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分，其他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1-5</w:t>
      </w:r>
      <w:r w:rsidR="00A030FE"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</w:rPr>
      </w:pPr>
      <w:r w:rsidRPr="004921B0">
        <w:rPr>
          <w:rFonts w:ascii="Times New Roman" w:eastAsia="黑体" w:hAnsi="Times New Roman"/>
          <w:color w:val="0D0D0D" w:themeColor="text1" w:themeTint="F2"/>
          <w:sz w:val="32"/>
        </w:rPr>
        <w:t>二、代表性业绩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（本项可累加，最高不超过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60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分）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 xml:space="preserve">1. 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以第一作者或通讯作者发表论文。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（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）未发表论文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，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此项不计分；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（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2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）发表本学科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1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区或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影响因子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为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10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及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以上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SCI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Pr="004921B0">
        <w:rPr>
          <w:rFonts w:ascii="Times New Roman" w:eastAsia="仿宋_GB2312" w:hAnsi="Times New Roman"/>
          <w:color w:val="333333"/>
          <w:sz w:val="32"/>
        </w:rPr>
        <w:t>SSCI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lastRenderedPageBreak/>
        <w:t>EI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CSSCI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论文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，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每篇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分，累计不超过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30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分；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发表本学科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2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区或影响因子为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5-10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的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SCI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SSCI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EI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CSSCI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论文，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每篇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8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分，累计不超过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24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分；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发表本学科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3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区或影响因子为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2-5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的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SCI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SSCI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EI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CSSCI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论文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，每篇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6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分，累计不超过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18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分；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发表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其他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SCI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SSCI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EI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="009F671F"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CSSCI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论文，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或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发表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I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STP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论文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“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中国科技期刊卓越行动计划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”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名录期刊论文，每篇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4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分，累计不超过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12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（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3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）对投稿尚未接受的论文、非第一作者或通讯作者论文、国际国内会议论文等不进行评分。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 xml:space="preserve">2. 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参与获得（以证书为准）国家科技成果奖励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21-30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分，省部级成果奖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11-20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分，获得其他科技成果奖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1-10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 xml:space="preserve">3. 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作为主要完成人（排名前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3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，以证书为准）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，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获得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国家发明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专利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著作权、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专有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技术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（技术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秘密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），育成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新品种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，研制新兽药、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产品、装备等知识产权成果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11-15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；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参与获得专利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、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著作权、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专有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技术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（技术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秘密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），育成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新品种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，研制新兽药、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产品、装备等知识产权成果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6-10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；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获得国家授权实用新型专利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1-5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 xml:space="preserve">4. 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作为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主持人，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承担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部省级以上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科研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项目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11-15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；作为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主持人，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承担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其他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科研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项目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6-10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；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参与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科研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项目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1-5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 xml:space="preserve">5. 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获得国家级创新实践大赛或学科竞赛等比赛奖项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11-15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分；获得省级创新实践大赛或学科竞赛等比赛奖项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6-10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分；获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lastRenderedPageBreak/>
        <w:t>得校级创新实践大赛或学科竞赛等比赛奖项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1-5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6.</w:t>
      </w:r>
      <w:r w:rsidR="00514496">
        <w:rPr>
          <w:rFonts w:ascii="Times New Roman" w:eastAsia="仿宋_GB2312" w:hAnsi="Times New Roman" w:hint="eastAsia"/>
          <w:color w:val="0D0D0D" w:themeColor="text1" w:themeTint="F2"/>
          <w:sz w:val="32"/>
        </w:rPr>
        <w:t xml:space="preserve"> 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参加国际学术会议并作大会报告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6-10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分；参加国际学术会议并做墙报展示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1-5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</w:rPr>
      </w:pPr>
      <w:r w:rsidRPr="004921B0">
        <w:rPr>
          <w:rFonts w:ascii="Times New Roman" w:eastAsia="黑体" w:hAnsi="Times New Roman"/>
          <w:color w:val="0D0D0D" w:themeColor="text1" w:themeTint="F2"/>
          <w:sz w:val="32"/>
        </w:rPr>
        <w:t>三、</w:t>
      </w:r>
      <w:r w:rsidRPr="004921B0">
        <w:rPr>
          <w:rFonts w:ascii="Times New Roman" w:eastAsia="黑体" w:hAnsi="Times New Roman" w:hint="eastAsia"/>
          <w:color w:val="0D0D0D" w:themeColor="text1" w:themeTint="F2"/>
          <w:sz w:val="32"/>
        </w:rPr>
        <w:t>综合素质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（本项可累加，最高不超过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10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分）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 w:hint="eastAsia"/>
          <w:color w:val="0D0D0D"/>
          <w:sz w:val="32"/>
        </w:rPr>
        <w:t>具有从事公益性专业技术工作所需的其他</w:t>
      </w:r>
      <w:r w:rsidRPr="004921B0">
        <w:rPr>
          <w:rFonts w:ascii="Times New Roman" w:eastAsia="仿宋_GB2312" w:hAnsi="Times New Roman"/>
          <w:color w:val="0D0D0D"/>
          <w:sz w:val="32"/>
        </w:rPr>
        <w:t>技能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能力、政治</w:t>
      </w:r>
      <w:r w:rsidRPr="004921B0">
        <w:rPr>
          <w:rFonts w:ascii="Times New Roman" w:eastAsia="仿宋_GB2312" w:hAnsi="Times New Roman"/>
          <w:color w:val="0D0D0D"/>
          <w:sz w:val="32"/>
        </w:rPr>
        <w:t>道德修养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、</w:t>
      </w:r>
      <w:r w:rsidRPr="004921B0">
        <w:rPr>
          <w:rFonts w:ascii="Times New Roman" w:eastAsia="仿宋_GB2312" w:hAnsi="Times New Roman"/>
          <w:color w:val="0D0D0D"/>
          <w:sz w:val="32"/>
        </w:rPr>
        <w:t>组织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协调沟通能力等</w:t>
      </w:r>
      <w:r w:rsidRPr="004921B0">
        <w:rPr>
          <w:rFonts w:ascii="Times New Roman" w:eastAsia="仿宋_GB2312" w:hAnsi="Times New Roman"/>
          <w:color w:val="0D0D0D"/>
          <w:sz w:val="32"/>
        </w:rPr>
        <w:t>综合素质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，</w:t>
      </w:r>
      <w:r w:rsidRPr="004921B0">
        <w:rPr>
          <w:rFonts w:ascii="Times New Roman" w:eastAsia="仿宋_GB2312" w:hAnsi="Times New Roman"/>
          <w:color w:val="0D0D0D"/>
          <w:sz w:val="32"/>
        </w:rPr>
        <w:t>优秀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7</w:t>
      </w:r>
      <w:r w:rsidRPr="004921B0">
        <w:rPr>
          <w:rFonts w:ascii="Times New Roman" w:eastAsia="仿宋_GB2312" w:hAnsi="Times New Roman"/>
          <w:color w:val="0D0D0D"/>
          <w:sz w:val="32"/>
        </w:rPr>
        <w:t>-10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分</w:t>
      </w:r>
      <w:r w:rsidRPr="004921B0">
        <w:rPr>
          <w:rFonts w:ascii="Times New Roman" w:eastAsia="仿宋_GB2312" w:hAnsi="Times New Roman"/>
          <w:color w:val="0D0D0D"/>
          <w:sz w:val="32"/>
        </w:rPr>
        <w:t>，良好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4</w:t>
      </w:r>
      <w:r w:rsidRPr="004921B0">
        <w:rPr>
          <w:rFonts w:ascii="Times New Roman" w:eastAsia="仿宋_GB2312" w:hAnsi="Times New Roman"/>
          <w:color w:val="0D0D0D"/>
          <w:sz w:val="32"/>
        </w:rPr>
        <w:t>-7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分</w:t>
      </w:r>
      <w:r w:rsidRPr="004921B0">
        <w:rPr>
          <w:rFonts w:ascii="Times New Roman" w:eastAsia="仿宋_GB2312" w:hAnsi="Times New Roman"/>
          <w:color w:val="0D0D0D"/>
          <w:sz w:val="32"/>
        </w:rPr>
        <w:t>，合格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1</w:t>
      </w:r>
      <w:r w:rsidRPr="004921B0">
        <w:rPr>
          <w:rFonts w:ascii="Times New Roman" w:eastAsia="仿宋_GB2312" w:hAnsi="Times New Roman"/>
          <w:color w:val="0D0D0D"/>
          <w:sz w:val="32"/>
        </w:rPr>
        <w:t>-4</w:t>
      </w:r>
      <w:r w:rsidRPr="004921B0">
        <w:rPr>
          <w:rFonts w:ascii="Times New Roman" w:eastAsia="仿宋_GB2312" w:hAnsi="Times New Roman" w:hint="eastAsia"/>
          <w:color w:val="0D0D0D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</w:rPr>
      </w:pPr>
      <w:r w:rsidRPr="004921B0">
        <w:rPr>
          <w:rFonts w:ascii="Times New Roman" w:eastAsia="黑体" w:hAnsi="Times New Roman" w:hint="eastAsia"/>
          <w:color w:val="0D0D0D" w:themeColor="text1" w:themeTint="F2"/>
          <w:sz w:val="32"/>
        </w:rPr>
        <w:t>四</w:t>
      </w:r>
      <w:r w:rsidRPr="004921B0">
        <w:rPr>
          <w:rFonts w:ascii="Times New Roman" w:eastAsia="黑体" w:hAnsi="Times New Roman"/>
          <w:color w:val="0D0D0D" w:themeColor="text1" w:themeTint="F2"/>
          <w:sz w:val="32"/>
        </w:rPr>
        <w:t>、与团队匹配度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（本项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为附加分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，</w:t>
      </w:r>
      <w:bookmarkStart w:id="0" w:name="_GoBack"/>
      <w:bookmarkEnd w:id="0"/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可累加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，最高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3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分）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 xml:space="preserve">1. 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与团队科研方向匹配度。与所应聘的团队科研方向完全匹配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11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-1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分，基本匹配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6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-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10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分，匹配度较低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-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 xml:space="preserve">2. 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与团队人才队伍结构匹配度。与所应聘的团队人才队伍结构（年龄结构，性别结构和学历结构等）完全匹配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11-15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分，基本匹配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6-10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分，匹配度较低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0-5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A030FE">
      <w:pPr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综合</w:t>
      </w:r>
      <w:r w:rsidR="00145FE0">
        <w:rPr>
          <w:rFonts w:ascii="Times New Roman" w:eastAsia="仿宋_GB2312" w:hAnsi="Times New Roman" w:hint="eastAsia"/>
          <w:color w:val="0D0D0D" w:themeColor="text1" w:themeTint="F2"/>
          <w:sz w:val="32"/>
        </w:rPr>
        <w:t>评议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总分</w:t>
      </w:r>
      <w:r w:rsidRPr="004921B0">
        <w:rPr>
          <w:rFonts w:ascii="Times New Roman" w:eastAsia="仿宋_GB2312" w:hAnsi="Times New Roman" w:hint="eastAsia"/>
          <w:color w:val="0D0D0D" w:themeColor="text1" w:themeTint="F2"/>
          <w:sz w:val="32"/>
        </w:rPr>
        <w:t>（不包括附加分）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合格线为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50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分。</w:t>
      </w:r>
    </w:p>
    <w:p w:rsidR="00A030FE" w:rsidRPr="004921B0" w:rsidRDefault="00A030FE" w:rsidP="00402659">
      <w:pPr>
        <w:spacing w:line="560" w:lineRule="exact"/>
        <w:ind w:firstLine="648"/>
        <w:rPr>
          <w:rFonts w:ascii="Times New Roman" w:eastAsia="仿宋_GB2312" w:hAnsi="Times New Roman"/>
          <w:color w:val="0D0D0D" w:themeColor="text1" w:themeTint="F2"/>
          <w:sz w:val="13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本综合</w:t>
      </w:r>
      <w:r w:rsidR="00145FE0">
        <w:rPr>
          <w:rFonts w:ascii="Times New Roman" w:eastAsia="仿宋_GB2312" w:hAnsi="Times New Roman" w:hint="eastAsia"/>
          <w:color w:val="0D0D0D" w:themeColor="text1" w:themeTint="F2"/>
          <w:sz w:val="32"/>
        </w:rPr>
        <w:t>评议</w:t>
      </w: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评分规则由江苏省农业科学院人事处负责解释。</w:t>
      </w:r>
    </w:p>
    <w:p w:rsidR="00402659" w:rsidRPr="004921B0" w:rsidRDefault="00402659" w:rsidP="00402659">
      <w:pPr>
        <w:spacing w:line="260" w:lineRule="exact"/>
        <w:ind w:firstLine="646"/>
        <w:rPr>
          <w:rFonts w:ascii="Times New Roman" w:eastAsia="仿宋_GB2312" w:hAnsi="Times New Roman"/>
          <w:color w:val="0D0D0D" w:themeColor="text1" w:themeTint="F2"/>
          <w:sz w:val="13"/>
        </w:rPr>
      </w:pPr>
    </w:p>
    <w:p w:rsidR="00A030FE" w:rsidRPr="004921B0" w:rsidRDefault="00A030FE" w:rsidP="00A030FE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color w:val="0D0D0D" w:themeColor="text1" w:themeTint="F2"/>
          <w:sz w:val="32"/>
        </w:rPr>
      </w:pPr>
      <w:r w:rsidRPr="004921B0">
        <w:rPr>
          <w:rFonts w:ascii="Times New Roman" w:eastAsia="仿宋_GB2312" w:hAnsi="Times New Roman"/>
          <w:color w:val="0D0D0D" w:themeColor="text1" w:themeTint="F2"/>
          <w:sz w:val="32"/>
        </w:rPr>
        <w:t>江苏省农业科学院</w:t>
      </w:r>
    </w:p>
    <w:p w:rsidR="00BA52C0" w:rsidRDefault="00BA52C0" w:rsidP="00A030FE">
      <w:pPr>
        <w:spacing w:line="560" w:lineRule="exact"/>
        <w:rPr>
          <w:rFonts w:ascii="Times New Roman" w:eastAsia="华文中宋" w:hAnsi="Times New Roman"/>
          <w:color w:val="0D0D0D" w:themeColor="text1" w:themeTint="F2"/>
          <w:sz w:val="32"/>
          <w:szCs w:val="18"/>
        </w:rPr>
      </w:pPr>
    </w:p>
    <w:p w:rsidR="00BA52C0" w:rsidRDefault="00BA52C0" w:rsidP="00A030FE">
      <w:pPr>
        <w:spacing w:line="560" w:lineRule="exact"/>
        <w:rPr>
          <w:rFonts w:ascii="Times New Roman" w:eastAsia="华文中宋" w:hAnsi="Times New Roman"/>
          <w:color w:val="0D0D0D" w:themeColor="text1" w:themeTint="F2"/>
          <w:sz w:val="32"/>
          <w:szCs w:val="18"/>
        </w:rPr>
      </w:pPr>
    </w:p>
    <w:p w:rsidR="00BA52C0" w:rsidRDefault="00BA52C0" w:rsidP="00A030FE">
      <w:pPr>
        <w:spacing w:line="560" w:lineRule="exact"/>
        <w:rPr>
          <w:rFonts w:ascii="Times New Roman" w:eastAsia="华文中宋" w:hAnsi="Times New Roman"/>
          <w:color w:val="0D0D0D" w:themeColor="text1" w:themeTint="F2"/>
          <w:sz w:val="32"/>
          <w:szCs w:val="18"/>
        </w:rPr>
      </w:pPr>
    </w:p>
    <w:p w:rsidR="00BA52C0" w:rsidRDefault="00BA52C0" w:rsidP="00A030FE">
      <w:pPr>
        <w:spacing w:line="560" w:lineRule="exact"/>
        <w:rPr>
          <w:rFonts w:ascii="Times New Roman" w:eastAsia="华文中宋" w:hAnsi="Times New Roman"/>
          <w:color w:val="0D0D0D" w:themeColor="text1" w:themeTint="F2"/>
          <w:sz w:val="32"/>
          <w:szCs w:val="18"/>
        </w:rPr>
      </w:pPr>
    </w:p>
    <w:sectPr w:rsidR="00BA52C0" w:rsidSect="007A7208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E8" w:rsidRDefault="00D425E8" w:rsidP="00D47DF6">
      <w:r>
        <w:separator/>
      </w:r>
    </w:p>
  </w:endnote>
  <w:endnote w:type="continuationSeparator" w:id="0">
    <w:p w:rsidR="00D425E8" w:rsidRDefault="00D425E8" w:rsidP="00D4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E8" w:rsidRDefault="00D425E8" w:rsidP="00D47DF6">
      <w:r>
        <w:separator/>
      </w:r>
    </w:p>
  </w:footnote>
  <w:footnote w:type="continuationSeparator" w:id="0">
    <w:p w:rsidR="00D425E8" w:rsidRDefault="00D425E8" w:rsidP="00D4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48D4"/>
    <w:multiLevelType w:val="hybridMultilevel"/>
    <w:tmpl w:val="F196A944"/>
    <w:lvl w:ilvl="0" w:tplc="1A4E7D36">
      <w:start w:val="1"/>
      <w:numFmt w:val="decimal"/>
      <w:lvlText w:val="%1."/>
      <w:lvlJc w:val="left"/>
      <w:pPr>
        <w:ind w:left="104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01"/>
    <w:rsid w:val="00025B42"/>
    <w:rsid w:val="000269D6"/>
    <w:rsid w:val="00085ABB"/>
    <w:rsid w:val="000E4FC6"/>
    <w:rsid w:val="000E7685"/>
    <w:rsid w:val="000F7D3F"/>
    <w:rsid w:val="00106138"/>
    <w:rsid w:val="001273C6"/>
    <w:rsid w:val="001419B3"/>
    <w:rsid w:val="00145FE0"/>
    <w:rsid w:val="00145FFA"/>
    <w:rsid w:val="0018387E"/>
    <w:rsid w:val="00193E5B"/>
    <w:rsid w:val="001D27A5"/>
    <w:rsid w:val="00281492"/>
    <w:rsid w:val="002C0910"/>
    <w:rsid w:val="002C2072"/>
    <w:rsid w:val="003238A4"/>
    <w:rsid w:val="00324967"/>
    <w:rsid w:val="003277C2"/>
    <w:rsid w:val="00341669"/>
    <w:rsid w:val="00392EAD"/>
    <w:rsid w:val="003A59B1"/>
    <w:rsid w:val="003A6BBC"/>
    <w:rsid w:val="00402659"/>
    <w:rsid w:val="00455563"/>
    <w:rsid w:val="004763D0"/>
    <w:rsid w:val="004921B0"/>
    <w:rsid w:val="0049244C"/>
    <w:rsid w:val="004A7571"/>
    <w:rsid w:val="004C7DEC"/>
    <w:rsid w:val="004D4622"/>
    <w:rsid w:val="004F335E"/>
    <w:rsid w:val="00511615"/>
    <w:rsid w:val="00514496"/>
    <w:rsid w:val="005313E7"/>
    <w:rsid w:val="00591789"/>
    <w:rsid w:val="00593C3C"/>
    <w:rsid w:val="005A2FC3"/>
    <w:rsid w:val="005C150C"/>
    <w:rsid w:val="006251CB"/>
    <w:rsid w:val="00640220"/>
    <w:rsid w:val="00645704"/>
    <w:rsid w:val="006C544A"/>
    <w:rsid w:val="006F5696"/>
    <w:rsid w:val="0073661F"/>
    <w:rsid w:val="0074213D"/>
    <w:rsid w:val="00782A77"/>
    <w:rsid w:val="0078534C"/>
    <w:rsid w:val="00793014"/>
    <w:rsid w:val="00797431"/>
    <w:rsid w:val="007A7208"/>
    <w:rsid w:val="007A783B"/>
    <w:rsid w:val="007B3FBB"/>
    <w:rsid w:val="007B549B"/>
    <w:rsid w:val="007F3ABE"/>
    <w:rsid w:val="008D518B"/>
    <w:rsid w:val="00924413"/>
    <w:rsid w:val="009461A5"/>
    <w:rsid w:val="00946494"/>
    <w:rsid w:val="009D5346"/>
    <w:rsid w:val="009F4F68"/>
    <w:rsid w:val="009F671F"/>
    <w:rsid w:val="00A030FE"/>
    <w:rsid w:val="00A0741A"/>
    <w:rsid w:val="00A131D5"/>
    <w:rsid w:val="00A17ECB"/>
    <w:rsid w:val="00A75AC3"/>
    <w:rsid w:val="00AE2F6A"/>
    <w:rsid w:val="00B25348"/>
    <w:rsid w:val="00B73BE6"/>
    <w:rsid w:val="00B83B1B"/>
    <w:rsid w:val="00B944EB"/>
    <w:rsid w:val="00BA52C0"/>
    <w:rsid w:val="00BC7F85"/>
    <w:rsid w:val="00C544E7"/>
    <w:rsid w:val="00C81DDF"/>
    <w:rsid w:val="00CA4E61"/>
    <w:rsid w:val="00CB301F"/>
    <w:rsid w:val="00D03DC5"/>
    <w:rsid w:val="00D425E8"/>
    <w:rsid w:val="00D47DF6"/>
    <w:rsid w:val="00D6298B"/>
    <w:rsid w:val="00D819F3"/>
    <w:rsid w:val="00DA3F1C"/>
    <w:rsid w:val="00DD2BF8"/>
    <w:rsid w:val="00E208DE"/>
    <w:rsid w:val="00E35601"/>
    <w:rsid w:val="00E57D16"/>
    <w:rsid w:val="00E63671"/>
    <w:rsid w:val="00E92820"/>
    <w:rsid w:val="00EF1EB3"/>
    <w:rsid w:val="00F050F4"/>
    <w:rsid w:val="00F5422E"/>
    <w:rsid w:val="00F5480A"/>
    <w:rsid w:val="00FC2296"/>
    <w:rsid w:val="00FC6EF4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A7197"/>
  <w15:chartTrackingRefBased/>
  <w15:docId w15:val="{72B935F4-FDB4-40D3-9E07-0DF76429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D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D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DF6"/>
    <w:rPr>
      <w:sz w:val="18"/>
      <w:szCs w:val="18"/>
    </w:rPr>
  </w:style>
  <w:style w:type="character" w:styleId="a7">
    <w:name w:val="Emphasis"/>
    <w:basedOn w:val="a0"/>
    <w:uiPriority w:val="20"/>
    <w:qFormat/>
    <w:rsid w:val="004F335E"/>
    <w:rPr>
      <w:i/>
      <w:iCs/>
    </w:rPr>
  </w:style>
  <w:style w:type="paragraph" w:styleId="a8">
    <w:name w:val="List Paragraph"/>
    <w:basedOn w:val="a"/>
    <w:uiPriority w:val="34"/>
    <w:qFormat/>
    <w:rsid w:val="003238A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92E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92E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A48D-7069-463C-9888-D7A9AE6B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</dc:creator>
  <cp:keywords/>
  <dc:description/>
  <cp:lastModifiedBy>lenovo0</cp:lastModifiedBy>
  <cp:revision>84</cp:revision>
  <cp:lastPrinted>2021-04-22T01:23:00Z</cp:lastPrinted>
  <dcterms:created xsi:type="dcterms:W3CDTF">2021-04-13T07:46:00Z</dcterms:created>
  <dcterms:modified xsi:type="dcterms:W3CDTF">2021-04-27T03:41:00Z</dcterms:modified>
</cp:coreProperties>
</file>