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  <w:bdr w:val="none" w:color="auto" w:sz="0" w:space="0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bdr w:val="none" w:color="auto" w:sz="0" w:space="0"/>
        </w:rPr>
        <w:t>      合肥市引江济淮投资有限公司2021年度员工招聘计划表</w:t>
      </w:r>
    </w:p>
    <w:tbl>
      <w:tblPr>
        <w:tblpPr w:vertAnchor="text" w:tblpXSpec="left"/>
        <w:tblW w:w="91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0"/>
        <w:gridCol w:w="1156"/>
        <w:gridCol w:w="1421"/>
        <w:gridCol w:w="637"/>
        <w:gridCol w:w="1621"/>
        <w:gridCol w:w="3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部 门</w:t>
            </w:r>
          </w:p>
        </w:tc>
        <w:tc>
          <w:tcPr>
            <w:tcW w:w="1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6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7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0"/>
                <w:szCs w:val="20"/>
                <w:bdr w:val="none" w:color="auto" w:sz="0" w:space="0"/>
              </w:rPr>
              <w:t>综合管理部、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党群办公室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汉语言文学、秘书学、新闻学、广播电视学等专业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具备一定的宣传信息撰写和公文写作能力。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行政管理、信息管理和信息系统、信息资源管理等专业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具备一定的行政管理或信息资源管理工作能力。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人力资源部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人力资源管理、行政管理、劳动与社会保障管理等专业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具备一定的人力资源管理专业知识和工作能力。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建设管理部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环境科学与工程、环境生态工程、资源环境科学等专业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具备一定的环境生态工程建设管理专业知识及现场管理能力。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档案学、信息资源管理等专业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具备一定的档案专业知识或信息资源管理工作能力。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财务管理部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会计学专业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（中级职称）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具备一定的财务专业能力和企业投资运营分析能力。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发展计划部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工商管理学、经济学等专业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硕士研究生及以上学历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具备一定的投融资项目分析研究、计划管理及方案编制能力。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质量安全部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安全工程专业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具备一定的安全生产管理能力。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法务审计部、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监察室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审计学、会计学、财务管理等专业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具备一定的会计、审计专业知识和审计工作能力。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合     计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D3FA1"/>
    <w:rsid w:val="771D41F1"/>
    <w:rsid w:val="7897045D"/>
    <w:rsid w:val="7F2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2021-08-17T10:04:00Z</dcterms:created>
  <dc:creator>华图教育</dc:creator>
  <cp:lastModifiedBy>sienna</cp:lastModifiedBy>
  <dcterms:modified xsi:type="dcterms:W3CDTF">2021-08-20T06:28:48Z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