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76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pStyle w:val="5"/>
        <w:spacing w:line="576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pStyle w:val="5"/>
        <w:spacing w:line="576" w:lineRule="exact"/>
        <w:rPr>
          <w:rFonts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0"/>
          <w:sz w:val="44"/>
          <w:szCs w:val="44"/>
        </w:rPr>
        <w:t>雅安市雨城区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急需紧缺专业目录范围（部分）</w:t>
      </w:r>
      <w:bookmarkEnd w:id="0"/>
    </w:p>
    <w:p>
      <w:pPr>
        <w:pStyle w:val="2"/>
        <w:spacing w:line="576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284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经济学类               </w:t>
            </w:r>
          </w:p>
        </w:tc>
        <w:tc>
          <w:tcPr>
            <w:tcW w:w="8029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经济学类：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经济学、资源与环境经济学、商务经济学等专业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金融学类：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金融学、金融工程、投资学等专业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经济与贸易类：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贸易经济、经济与金融等专业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财政学类：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财政学等专业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exact"/>
          <w:jc w:val="center"/>
        </w:trPr>
        <w:tc>
          <w:tcPr>
            <w:tcW w:w="1284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工学类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</w:t>
            </w:r>
          </w:p>
        </w:tc>
        <w:tc>
          <w:tcPr>
            <w:tcW w:w="8029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建筑类：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建筑学、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城乡规划</w:t>
            </w:r>
            <w:r>
              <w:rPr>
                <w:rFonts w:hint="eastAsia" w:ascii="仿宋_GB2312" w:eastAsia="仿宋_GB2312"/>
                <w:kern w:val="0"/>
                <w:sz w:val="24"/>
              </w:rPr>
              <w:t>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土木类：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土木工程等专业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环境科学与工程类：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环境科学与工程、环境生态工程、资源环境科学等专业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电子信息类：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电子信息工程、电子科学与技术等专业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exact"/>
          <w:jc w:val="center"/>
        </w:trPr>
        <w:tc>
          <w:tcPr>
            <w:tcW w:w="1284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管理学类             </w:t>
            </w:r>
          </w:p>
        </w:tc>
        <w:tc>
          <w:tcPr>
            <w:tcW w:w="8029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旅游管理类：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旅游管理、会展经济与管理、旅游管理与服务教育等专业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电子商务类：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电子商务、电子商务及法律等专业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物流管理与工程类：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物流管理、物流工程等专业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公共管理类：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公共事业管理、行政管理、城市管理等专业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管理科学与工程类：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工程管理、工程造价等专业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工商管理类：</w:t>
            </w:r>
            <w:r>
              <w:rPr>
                <w:rFonts w:hint="eastAsia" w:ascii="仿宋_GB2312" w:eastAsia="仿宋_GB2312"/>
                <w:kern w:val="0"/>
                <w:sz w:val="24"/>
              </w:rPr>
              <w:t>会计学、财务管理、审计学等专业</w:t>
            </w: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left"/>
              <w:rPr>
                <w:rFonts w:ascii="仿宋_GB2312" w:eastAsia="仿宋_GB2312" w:cs="Arial" w:hAnsiTheme="minorEastAsia"/>
                <w:kern w:val="0"/>
                <w:sz w:val="24"/>
                <w:highlight w:val="yellow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鼎CS仿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汉仪南宫体简"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TT3D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SJ-PK748200000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-PK74820000008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 Extra BSJW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adi MT Condensed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+ZFYJgV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roman"/>
    <w:pitch w:val="default"/>
    <w:sig w:usb0="00000000" w:usb1="00000000" w:usb2="00000012" w:usb3="00000000" w:csb0="203E01BD" w:csb1="D7FF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黑变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Hiragino Sans GB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+ZGWJEl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Cambria Math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Verdana CE">
    <w:altName w:val="Verdana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Verdana Cyr">
    <w:altName w:val="Verdana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Verdana Greek">
    <w:altName w:val="Verdana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Verdana Tur">
    <w:altName w:val="Verdana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Verdana Baltic">
    <w:altName w:val="Verdana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Verdana (Vietnamese)">
    <w:altName w:val="Verdana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TC5F3o00 + ZFCHQ5-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ul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D E 7o 0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·..yD.±ê...òì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T3D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D2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D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QVNPZS+FZFSK--GBK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永中仿宋">
    <w:altName w:val="仿宋"/>
    <w:panose1 w:val="020106000300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XB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MS Gothi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微软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+ZDMHyo-1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rkerFelt-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EA1008"/>
    <w:rsid w:val="259F755F"/>
    <w:rsid w:val="338904BF"/>
    <w:rsid w:val="33F94563"/>
    <w:rsid w:val="35510031"/>
    <w:rsid w:val="4349071B"/>
    <w:rsid w:val="56B35D07"/>
    <w:rsid w:val="5A70673B"/>
    <w:rsid w:val="5A7A0F4F"/>
    <w:rsid w:val="5ABD030F"/>
    <w:rsid w:val="64056FE6"/>
    <w:rsid w:val="6F356AA6"/>
    <w:rsid w:val="6F555223"/>
    <w:rsid w:val="72477844"/>
    <w:rsid w:val="75F63B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区委组织部办公室</cp:lastModifiedBy>
  <dcterms:modified xsi:type="dcterms:W3CDTF">2021-04-02T11:01:20Z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