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文星简小标宋" w:hAnsi="文星简小标宋" w:eastAsia="文星简小标宋" w:cs="文星简小标宋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嘉兴市</w:t>
      </w:r>
      <w:r>
        <w:rPr>
          <w:rFonts w:hint="eastAsia" w:ascii="文星简小标宋" w:hAnsi="文星简小标宋" w:eastAsia="文星简小标宋" w:cs="文星简小标宋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邮政管理</w:t>
      </w:r>
      <w:r>
        <w:rPr>
          <w:rFonts w:hint="eastAsia" w:ascii="文星简小标宋" w:hAnsi="文星简小标宋" w:eastAsia="文星简小标宋" w:cs="文星简小标宋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局所属事业单位公开选聘工作人员公告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5"/>
        <w:textAlignment w:val="auto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因工作需要，经嘉兴市人力资源和社会保障局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备案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，嘉兴市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邮政管理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局所属公益一类事业单位决定面向全市公开选聘事业单位人员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名。现将有关事项公告如下：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一、选聘岗位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嘉兴市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邮政业安全中心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工作人员。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二、选聘范围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嘉兴市行政区域内在职在编的事业单位工作人员。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三、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资格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条件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思想政治素质好，作风正派，遵纪守法，工作勤奋，责任心强，团结同事，勤政廉洁。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具有2年以上事业单位工作经历。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.近三年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考核为合格及以上等次。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具有较强的文字表达能力和较好的综合分析能力。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大学本科及以上学历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年龄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岁以下（19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年1月1日以后出生）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，具有硕士研究生学历学位的年龄放宽到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40周岁；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身体健康。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有下列情形之一的，不得报考：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受过党纪政务处分或司法机关刑事处罚的；正在接受司法机关立案侦查或纪检监察部门立案审查的；法律、法规规定的其他情形。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四、选聘程序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选聘工作坚持竞争择优的原则，按照报名、资格审查、考试、考察、体检、公示、聘用等程序进行。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（一）组织报名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报名采取网上报名方式，报名时间为公告发布之日至 2021年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instrText xml:space="preserve"> HYPERLINK "mailto:%E6%97%A5%E3%80%82%E6%8A%A5%E5%90%8D%E4%BA%BA%E5%91%98%E9%A1%BB%E5%A6%82%E5%AE%9E%E3%80%81%E5%87%86%E7%A1%AE%E5%A1%AB%E5%86%99%E3%80%8A%E5%98%89%E5%85%B4%E5%B8%82%E5%8F%B8%E6%B3%95%E5%B1%80%E5%85%AC%E5%BC%80%E9%80%89%E8%81%98%E4%BA%8B%E4%B8%9A%E5%8D%95%E4%BD%8D%E5%B7%A5%E4%BD%9C%E4%BA%BA%E5%91%98%E6%8A%A5%E5%90%8D%E8%A1%A8%E3%80%8B%EF%BC%88%E8%A7%81%E9%99%84%E4%BB%B6%EF%BC%89%EF%BC%8C%E6%96%87%E6%A1%A3%E4%B8%8A%E7%B2%98%E8%B4%B4%E8%BF%91%E6%9C%9F1%E5%AF%B8%E5%85%8D%E5%86%A0%E5%BD%A9%E8%89%B2%E8%AF%81%E4%BB%B6%E7%85%A7%E7%89%87%EF%BC%88JPG%E6%A0%BC%E5%BC%8F%EF%BC%8C80-150KB%EF%BC%89%EF%BC%8C%E5%B9%B6%E5%B0%86%E8%BA%AB%E4%BB%BD%E8%AF%81%E3%80%81%E5%AD%A6%E5%8E%86%E5%AD%A6%E4%BD%8D%E8%AF%81%E4%B9%A6%E3%80%81%E6%94%BF%E6%89%A7%E6%B3%95%E8%AF%81%E6%88%96%E6%B3%95%E5%BE%8B%E8%81%8C%E4%B8%9A%E8%B5%84%E6%A0%BC%E8%AF%81%E4%B9%A6%E7%AD%89%E7%9B%B8%E5%85%B3%E6%9D%90%E6%96%99%E6%89%AB%E6%8F%8F%E4%BB%B6%E7%94%B5%E5%AD%90%E7%A8%BF%E5%8F%91%E9%80%81%E8%87%B3%E6%8A%A5%E5%90%8D%E9%82%AE%E7%AE%B1%EF%BC%88llyy8207@163.com%EF%BC%89%E3%80%82%E7%9B%B8%E5%85%B3%E6%8A%A5%E5%90%8D%E6%9D%90%E6%96%99%E5%8F%AF%E5%9C%A8%E8%80%83%E8%AF%95%E5%89%8D%E6%8F%90%E4%BE%9B%E5%8E%9F%E4%BB%B6%E5%8F%8A%E5%A4%8D%E5%8D%B0%E4%BB%B6%E5%90%84%E4%B8%80%E5%A5%97%EF%BC%8C%E6%89%80%E6%8F%90%E4%BE%9B%E6%9D%90%E6%96%99%E4%B8%8D%E5%85%A8%E6%88%96%E6%9D%90%E6%96%99%E5%AE%A1%E6%A0%B8%E4%B8%8D%E7%AC%A6%E5%90%88%E6%8A%A5%E5%90%8D%E6%9D%A1%E4%BB%B6%E7%9A%84%E4%B8%8D%E5%BE%97%E5%8F%82%E5%8A%A0%E8%80%83%E8%AF%95%E3%80%82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日。报名人员须如实、准确填写《嘉兴市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邮政管理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局公开选聘事业单位工作人员报名表》（见附件），文档上粘贴近期1寸免冠彩色证件照片（JPG格式，80-150KB），并将身份证、学历学位证书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、工作经历证明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等相关材料扫描件电子稿发送至报名邮箱：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dodo80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@163.com。相关报名材料可在考试前提供原件及复印件各一套，所提供材料不全或材料审核不符合报名条件的不得参加考试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注意事项：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应聘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人员对提交材料的真实性负责，凡弄虚作假，一经查实，即取消考试和选聘资格。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（二）资格审查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报名结束后由市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邮政管理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局对报考人员提供的相关材料进行资格审查，确定入围考试人员名单，并将审查结果反馈给报考人员。考试时间、地点另行通知。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（三）考试和考察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考试将采取面试的方式进行，内容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为综合素质测试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。面试满分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分，合格分为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分。面试不合格者不能进入下一环节。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面试结束后从高分到低分按照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1：1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的比例确定入围考察对象，考察工作参考公务员考录考察工作的办法进行。主要对入围人员进行资格条件的复核和德、能、勤、绩、廉以及需要回避的情况等考察，考察不合格的不予聘用。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（四）体检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体检参照《公务员录用体检通用标准(试行)》执行，体检费用自理。如应聘人员不按规定的时间、地点参加体检，视作放弃体检资格。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考察、体检环节，出现不合格或自愿放弃的，由市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邮政管理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局研究决定是否安排人员递补，需要递补的，按考试成绩从高到低排序。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（五）公示、聘用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经考察、体检均合格的，拟聘用人员在嘉兴市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邮政管理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局网站</w: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"http://zjjx.spb.gov.cn/" \t "_blank"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http://zjjx.spb.gov.cn/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上公示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个工作日。公示期满，对拟聘用人员没有异议或反映有问题经查实不影响聘用的，按规定办理聘用手续。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拟聘用人员在接到通知后，必须在规定时间内报到。拟聘用人员办理报到前须与原单位解除聘用合同。聘用人员列入事业编制管理，与单位签订事业单位聘用合同，并按规定约定试用期。试用期满后，考核合格者，予以正式聘用；不合格的，取消聘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五、监督与联系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本次公开选聘工作由嘉兴市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邮政管理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局按有关规定组织实施，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嘉兴市邮政管理局纪检组全程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监督，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嘉兴市人力资源和社会保障局监督指导。对考试违纪违规行为的认定和处理，按照《事业单位公开招聘违纪违规行为处理规定》（人社部令第35号）执行。</w:t>
      </w:r>
      <w:r>
        <w:rPr>
          <w:rFonts w:hint="default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82765012（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纪检组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</w:t>
      </w:r>
      <w:r>
        <w:rPr>
          <w:rFonts w:hint="default" w:ascii="仿宋_GB2312" w:hAnsi="仿宋_GB2312" w:eastAsia="仿宋_GB2312" w:cs="仿宋_GB2312"/>
          <w:sz w:val="32"/>
          <w:szCs w:val="32"/>
        </w:rPr>
        <w:t>82228947（市人力社保局）。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本公告未尽事宜，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由嘉兴市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邮政管理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局具体解释。联系电话：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82765083（市邮政管理局）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附件：嘉兴市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邮政管理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局公开选聘事业单位人员报名表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嘉兴市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邮政管理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  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                     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 2021年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281" w:firstLineChars="1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嘉兴市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邮政管理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公开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eastAsia="zh-CN"/>
        </w:rPr>
        <w:t>选聘事业单位人员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>报名表</w:t>
      </w:r>
    </w:p>
    <w:tbl>
      <w:tblPr>
        <w:tblStyle w:val="3"/>
        <w:tblW w:w="892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86"/>
        <w:gridCol w:w="516"/>
        <w:gridCol w:w="554"/>
        <w:gridCol w:w="375"/>
        <w:gridCol w:w="1080"/>
        <w:gridCol w:w="1253"/>
        <w:gridCol w:w="1237"/>
        <w:gridCol w:w="1380"/>
        <w:gridCol w:w="15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  <w:lang w:eastAsia="zh-CN"/>
              </w:rPr>
              <w:t>最高学历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‘Times New Roman‘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2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手机</w:t>
            </w:r>
          </w:p>
        </w:tc>
        <w:tc>
          <w:tcPr>
            <w:tcW w:w="28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0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毕业学校及专业</w:t>
            </w:r>
          </w:p>
        </w:tc>
        <w:tc>
          <w:tcPr>
            <w:tcW w:w="6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现工作单位及职务</w:t>
            </w:r>
          </w:p>
        </w:tc>
        <w:tc>
          <w:tcPr>
            <w:tcW w:w="6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‘Times New Roman‘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color w:val="000000"/>
                <w:kern w:val="0"/>
                <w:sz w:val="18"/>
                <w:szCs w:val="18"/>
              </w:rPr>
              <w:t>何时何种形式进入事业编制队伍</w:t>
            </w:r>
          </w:p>
        </w:tc>
        <w:tc>
          <w:tcPr>
            <w:tcW w:w="68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  <w:lang w:eastAsia="zh-CN"/>
              </w:rPr>
              <w:t>学习</w:t>
            </w: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工作简历</w:t>
            </w:r>
          </w:p>
        </w:tc>
        <w:tc>
          <w:tcPr>
            <w:tcW w:w="8282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vanish/>
          <w:kern w:val="0"/>
          <w:sz w:val="18"/>
          <w:szCs w:val="18"/>
        </w:rPr>
      </w:pPr>
    </w:p>
    <w:tbl>
      <w:tblPr>
        <w:tblStyle w:val="3"/>
        <w:tblW w:w="89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060"/>
        <w:gridCol w:w="859"/>
        <w:gridCol w:w="538"/>
        <w:gridCol w:w="531"/>
        <w:gridCol w:w="552"/>
        <w:gridCol w:w="547"/>
        <w:gridCol w:w="893"/>
        <w:gridCol w:w="1097"/>
        <w:gridCol w:w="14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‘Times New Roman‘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‘Times New Roman‘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  <w:lang w:eastAsia="zh-CN"/>
              </w:rPr>
              <w:t>（取得专业技术证书情况）</w:t>
            </w:r>
          </w:p>
        </w:tc>
        <w:tc>
          <w:tcPr>
            <w:tcW w:w="751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‘Times New Roman‘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年度考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核结果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‘Times New Roman‘" w:hAnsi="宋体" w:eastAsia="‘Times New Roman‘" w:cs="宋体"/>
                <w:kern w:val="0"/>
                <w:sz w:val="18"/>
                <w:szCs w:val="18"/>
              </w:rPr>
              <w:t>201</w:t>
            </w:r>
            <w:r>
              <w:rPr>
                <w:rFonts w:hint="eastAsia" w:ascii="‘Times New Roman‘" w:hAnsi="宋体" w:eastAsia="‘Times New Roman‘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年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‘Times New Roman‘" w:hAnsi="宋体" w:eastAsia="‘Times New Roman‘" w:cs="宋体"/>
                <w:kern w:val="0"/>
                <w:sz w:val="18"/>
                <w:szCs w:val="18"/>
              </w:rPr>
              <w:t>201</w:t>
            </w:r>
            <w:r>
              <w:rPr>
                <w:rFonts w:hint="eastAsia" w:ascii="‘Times New Roman‘" w:hAnsi="宋体" w:eastAsia="‘Times New Roman‘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年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‘Times New Roman‘" w:hAnsi="宋体" w:eastAsia="‘Times New Roman‘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‘Times New Roman‘" w:hAnsi="宋体" w:eastAsia="‘Times New Roman‘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年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家庭主要成员</w:t>
            </w: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称谓</w:t>
            </w: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>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  <w:lang w:eastAsia="zh-CN"/>
              </w:rPr>
              <w:t>市邮政管理局审核意见</w:t>
            </w:r>
          </w:p>
        </w:tc>
        <w:tc>
          <w:tcPr>
            <w:tcW w:w="751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hint="eastAsia" w:ascii="宋体" w:hAnsi="‘Times New Roman‘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snapToGrid w:val="0"/>
              <w:spacing w:before="100" w:beforeAutospacing="1" w:after="100" w:afterAutospacing="1" w:line="360" w:lineRule="auto"/>
              <w:jc w:val="both"/>
              <w:rPr>
                <w:rFonts w:hint="eastAsia" w:ascii="宋体" w:hAnsi="‘Times New Roman‘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‘Times New Roman‘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‘Times New Roman‘" w:cs="宋体"/>
                <w:kern w:val="0"/>
                <w:sz w:val="18"/>
                <w:szCs w:val="18"/>
              </w:rPr>
              <w:t xml:space="preserve">  年     月    日</w:t>
            </w:r>
          </w:p>
        </w:tc>
      </w:tr>
    </w:tbl>
    <w:p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852D1"/>
    <w:rsid w:val="054852D1"/>
    <w:rsid w:val="14DB2D44"/>
    <w:rsid w:val="154E6AD6"/>
    <w:rsid w:val="15E770B7"/>
    <w:rsid w:val="195B5C1B"/>
    <w:rsid w:val="202A597D"/>
    <w:rsid w:val="30F457C1"/>
    <w:rsid w:val="320254D4"/>
    <w:rsid w:val="394229DE"/>
    <w:rsid w:val="4B906236"/>
    <w:rsid w:val="552B0B2B"/>
    <w:rsid w:val="6CB06045"/>
    <w:rsid w:val="6F21611E"/>
    <w:rsid w:val="705947BF"/>
    <w:rsid w:val="70DD3DA9"/>
    <w:rsid w:val="72E8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2021-03-01T02:25:00Z</dcterms:created>
  <dc:creator>234</dc:creator>
  <cp:lastModifiedBy>User</cp:lastModifiedBy>
  <cp:lastPrinted>2021-03-30T07:40:45Z</cp:lastPrinted>
  <dcterms:modified xsi:type="dcterms:W3CDTF">2021-03-30T08:30:13Z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BC468917BB8B432396E6A220A0AA1BAD</vt:lpwstr>
  </property>
</Properties>
</file>