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5001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001E"/>
          <w:spacing w:val="0"/>
          <w:sz w:val="30"/>
          <w:szCs w:val="30"/>
          <w:bdr w:val="none" w:color="auto" w:sz="0" w:space="0"/>
          <w:shd w:val="clear" w:fill="FFFFFF"/>
        </w:rPr>
        <w:t>天津医科大学临床医学院应聘须知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一、报名方式：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以电子邮件方式报名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请将</w:t>
      </w: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个人简历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及天津医科大学临床医学院</w:t>
      </w: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应聘登记表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电子版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发送电子邮件至邮箱：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zuzhirenshibu2012@163.com。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发送邮件时请以附件形式发送，文件名及邮件主题统一命名为：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xx(应聘岗位)—xx(姓名)—xx(专业)—xx(学历)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二、面试时间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请面试人员按照规定日期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(由人事处电话告知)提前30分钟至人事处进行面试报到。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三、报到地点：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行政楼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205人事处办公室。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四、面试时需携带以下材料，面试报到时提交：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（一）个人纸质简历一份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（二）天津医科大学临床医学院教师应聘登记表一份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(到我院人事处网页下载专区下载，要求手填并贴上个人近期免冠彩照);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（三）毕业证及学位证书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)复印件;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（四）成绩单复印件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(以本科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学历为起点带起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（五）能够证明个人能力的其他材料（如英语、计算机等级证书、教师资格证书、专业资格证书、获奖证书复印件）。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五、面试形式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(一)初试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1、教师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(1)初试分为笔试和试讲两部分;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(3)试讲内容是从专业课中任选一章(绪论和第一章除外)，时间为15分钟左右，以板书与PPT相结合的形式;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(4)个别专业教师须进行实验操作。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2、行政人员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(1)初试分为笔试和面试两部分;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3、实验技术人员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(1)初试分为笔试、面试和实验操作三部分;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(4)面试将在实验操作结束后进行。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(二)复试：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一般情况下，在初试成绩汇总结束后，学院人事处将直接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通知初试通过者参加复试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(未通过者则不再通知)。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复试环节：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1.补充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自我介绍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(2-3分钟);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2.评委老师提问。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六、来院路线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天津火车站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(天津站A1站台)可</w:t>
      </w: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直接乘坐186定制专线或者186快线到天津医科大学临床医学院站下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天津西站北广场可乘坐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652路到津岐公路学苑路站下车，向西步行300米即到。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七、联系电话：</w:t>
      </w: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022—63837087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联系人：徐老师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212121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天津医科大学临床医学院人事处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26D3"/>
    <w:rsid w:val="799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2021-03-02T02:53:00Z</dcterms:created>
  <dc:creator>xiaoxiannv</dc:creator>
  <cp:lastModifiedBy>xiaoxiannv</cp:lastModifiedBy>
  <dcterms:modified xsi:type="dcterms:W3CDTF">2021-03-02T02:53:21Z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