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3"/>
          <w:szCs w:val="33"/>
        </w:rPr>
        <w:t>附件2</w:t>
      </w:r>
    </w:p>
    <w:p>
      <w:pPr>
        <w:overflowPunct w:val="0"/>
        <w:spacing w:line="560" w:lineRule="exact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“双一流”建设高校名单</w:t>
      </w:r>
    </w:p>
    <w:bookmarkEnd w:id="0"/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一、一流大学建设高校（42所）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1. A类36所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2. B类6所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二、一流学科建设高校（95所）</w:t>
      </w:r>
    </w:p>
    <w:p>
      <w:pPr>
        <w:overflowPunct w:val="0"/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海军军医大学、空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48A5"/>
    <w:rsid w:val="289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2021-01-12T02:21:00Z</dcterms:created>
  <dc:creator>.寶寶ˇ卜哭.</dc:creator>
  <cp:lastModifiedBy>.寶寶ˇ卜哭.</cp:lastModifiedBy>
  <dcterms:modified xsi:type="dcterms:W3CDTF">2021-01-12T02:21:57Z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455783827_btnclosed</vt:lpwstr>
  </property>
</Properties>
</file>