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eastAsia="宋体"/>
          <w:sz w:val="36"/>
          <w:szCs w:val="44"/>
          <w:lang w:eastAsia="zh-CN"/>
        </w:rPr>
      </w:pPr>
      <w:r>
        <w:rPr>
          <w:rFonts w:hint="eastAsia"/>
          <w:sz w:val="36"/>
          <w:szCs w:val="44"/>
        </w:rPr>
        <w:t>诸暨市农村发展投资有限公司</w:t>
      </w:r>
      <w:r>
        <w:rPr>
          <w:rFonts w:hint="eastAsia"/>
          <w:sz w:val="36"/>
          <w:szCs w:val="44"/>
          <w:lang w:eastAsia="zh-CN"/>
        </w:rPr>
        <w:t>公开招聘职工计划表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05"/>
        <w:gridCol w:w="765"/>
        <w:gridCol w:w="930"/>
        <w:gridCol w:w="930"/>
        <w:gridCol w:w="780"/>
        <w:gridCol w:w="4117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招聘</w:t>
            </w:r>
            <w:r>
              <w:rPr>
                <w:rFonts w:hint="eastAsia"/>
                <w:b/>
                <w:bCs/>
                <w:lang w:eastAsia="zh-CN"/>
              </w:rPr>
              <w:t>科室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11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招考对象</w:t>
            </w:r>
          </w:p>
        </w:tc>
        <w:tc>
          <w:tcPr>
            <w:tcW w:w="415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35周岁（含）及以下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具有2年（含）以上文字、党建、行政管理等相关工作经验。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中文文秘类、法律类、教育类、社会政治类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财务处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35周岁（含）及以下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工作经验。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财务财会类、审计类专业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工程处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工程技术管理负责岗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大专及以上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45周岁（含）及以下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</w:rPr>
              <w:t>工程师及以上技术职称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水利工程类相关专业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大专及以上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35周岁（含）及以下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</w:rPr>
              <w:t>助理工程师及以上专业技术职称。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水利工程类相关专业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大专及以上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</w:rPr>
              <w:t>助理工程师及以上专业技术职称。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机电控制类相关专业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工作人员3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大专及以上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</w:rPr>
              <w:t>助理工程师及以上专业技术职称。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水文与水资源工程相关专业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大专及以上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</w:rPr>
              <w:t>助理工程师及以上专业技术职称。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工程类相关</w:t>
            </w: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本科及以上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不限</w:t>
            </w: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不限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电子信息类相关专业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  <w:lang w:eastAsia="zh-CN"/>
        </w:rPr>
        <w:sectPr>
          <w:pgSz w:w="16838" w:h="11906" w:orient="landscape"/>
          <w:pgMar w:top="1620" w:right="1440" w:bottom="1466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22E7"/>
    <w:rsid w:val="38E81D77"/>
    <w:rsid w:val="6D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