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0" w:lineRule="exact"/>
        <w:jc w:val="both"/>
        <w:textAlignment w:val="auto"/>
        <w:rPr>
          <w:rFonts w:hint="eastAsia" w:ascii="方正黑体_GBK" w:hAnsi="方正黑体_GBK" w:eastAsia="方正黑体_GBK" w:cs="方正黑体_GBK"/>
          <w:color w:val="000000"/>
          <w:sz w:val="33"/>
          <w:szCs w:val="33"/>
          <w:lang w:val="en-US" w:eastAsia="zh-CN"/>
        </w:rPr>
      </w:pPr>
      <w:r>
        <w:rPr>
          <w:rFonts w:hint="eastAsia" w:ascii="方正黑体_GBK" w:hAnsi="方正黑体_GBK" w:eastAsia="方正黑体_GBK" w:cs="方正黑体_GBK"/>
          <w:color w:val="000000"/>
          <w:sz w:val="33"/>
          <w:szCs w:val="33"/>
          <w:lang w:val="en-US" w:eastAsia="zh-CN"/>
        </w:rPr>
        <w:t>附件1</w:t>
      </w:r>
    </w:p>
    <w:p>
      <w:pPr>
        <w:keepNext w:val="0"/>
        <w:keepLines w:val="0"/>
        <w:pageBreakBefore w:val="0"/>
        <w:widowControl w:val="0"/>
        <w:kinsoku/>
        <w:wordWrap/>
        <w:overflowPunct/>
        <w:topLinePunct w:val="0"/>
        <w:autoSpaceDE/>
        <w:autoSpaceDN/>
        <w:bidi w:val="0"/>
        <w:spacing w:line="590" w:lineRule="exact"/>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2020年邻水县乡镇事业单位面向服务基层项目人员和退役大学生士兵</w:t>
      </w:r>
    </w:p>
    <w:p>
      <w:pPr>
        <w:keepNext w:val="0"/>
        <w:keepLines w:val="0"/>
        <w:pageBreakBefore w:val="0"/>
        <w:widowControl w:val="0"/>
        <w:kinsoku/>
        <w:wordWrap/>
        <w:overflowPunct/>
        <w:topLinePunct w:val="0"/>
        <w:autoSpaceDE/>
        <w:autoSpaceDN/>
        <w:bidi w:val="0"/>
        <w:spacing w:line="590" w:lineRule="exact"/>
        <w:jc w:val="center"/>
        <w:textAlignment w:val="auto"/>
        <w:rPr>
          <w:rFonts w:hint="eastAsia" w:ascii="Times New Roman" w:hAnsi="Times New Roman" w:eastAsia="方正仿宋_GBK" w:cs="方正仿宋_GBK"/>
          <w:color w:val="000000"/>
          <w:sz w:val="33"/>
          <w:szCs w:val="33"/>
          <w:lang w:val="en-US" w:eastAsia="zh-CN"/>
        </w:rPr>
      </w:pPr>
      <w:r>
        <w:rPr>
          <w:rFonts w:hint="eastAsia" w:ascii="方正小标宋_GBK" w:hAnsi="方正小标宋_GBK" w:eastAsia="方正小标宋_GBK" w:cs="方正小标宋_GBK"/>
          <w:color w:val="000000"/>
          <w:sz w:val="44"/>
          <w:szCs w:val="44"/>
          <w:lang w:val="en-US" w:eastAsia="zh-CN"/>
        </w:rPr>
        <w:t>招聘工作人员职位表</w:t>
      </w:r>
    </w:p>
    <w:tbl>
      <w:tblPr>
        <w:tblStyle w:val="3"/>
        <w:tblW w:w="13945" w:type="dxa"/>
        <w:tblInd w:w="0" w:type="dxa"/>
        <w:shd w:val="clear" w:color="auto" w:fill="auto"/>
        <w:tblLayout w:type="fixed"/>
        <w:tblCellMar>
          <w:top w:w="0" w:type="dxa"/>
          <w:left w:w="0" w:type="dxa"/>
          <w:bottom w:w="0" w:type="dxa"/>
          <w:right w:w="0" w:type="dxa"/>
        </w:tblCellMar>
      </w:tblPr>
      <w:tblGrid>
        <w:gridCol w:w="373"/>
        <w:gridCol w:w="1006"/>
        <w:gridCol w:w="1046"/>
        <w:gridCol w:w="732"/>
        <w:gridCol w:w="684"/>
        <w:gridCol w:w="720"/>
        <w:gridCol w:w="636"/>
        <w:gridCol w:w="828"/>
        <w:gridCol w:w="888"/>
        <w:gridCol w:w="648"/>
        <w:gridCol w:w="3984"/>
        <w:gridCol w:w="600"/>
        <w:gridCol w:w="576"/>
        <w:gridCol w:w="708"/>
        <w:gridCol w:w="516"/>
      </w:tblGrid>
      <w:tr>
        <w:tblPrEx>
          <w:shd w:val="clear" w:color="auto" w:fill="auto"/>
          <w:tblCellMar>
            <w:top w:w="0" w:type="dxa"/>
            <w:left w:w="0" w:type="dxa"/>
            <w:bottom w:w="0" w:type="dxa"/>
            <w:right w:w="0" w:type="dxa"/>
          </w:tblCellMar>
        </w:tblPrEx>
        <w:trPr>
          <w:trHeight w:val="390" w:hRule="atLeast"/>
        </w:trPr>
        <w:tc>
          <w:tcPr>
            <w:tcW w:w="37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黑体" w:hAnsi="宋体" w:eastAsia="黑体" w:cs="黑体"/>
                <w:i w:val="0"/>
                <w:color w:val="000000"/>
                <w:sz w:val="20"/>
                <w:szCs w:val="20"/>
                <w:u w:val="none"/>
              </w:rPr>
            </w:pPr>
            <w:r>
              <w:rPr>
                <w:rFonts w:hint="eastAsia" w:ascii="黑体" w:hAnsi="宋体" w:eastAsia="黑体" w:cs="黑体"/>
                <w:i w:val="0"/>
                <w:color w:val="000000"/>
                <w:kern w:val="0"/>
                <w:sz w:val="24"/>
                <w:szCs w:val="24"/>
                <w:u w:val="none"/>
                <w:lang w:val="en-US" w:eastAsia="zh-CN" w:bidi="ar"/>
              </w:rPr>
              <w:t>序号</w:t>
            </w:r>
          </w:p>
        </w:tc>
        <w:tc>
          <w:tcPr>
            <w:tcW w:w="100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岗位代码</w:t>
            </w:r>
          </w:p>
        </w:tc>
        <w:tc>
          <w:tcPr>
            <w:tcW w:w="104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招聘单位</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公益类别</w:t>
            </w:r>
          </w:p>
        </w:tc>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岗位类别</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岗位名称</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招聘名额</w:t>
            </w:r>
          </w:p>
        </w:tc>
        <w:tc>
          <w:tcPr>
            <w:tcW w:w="634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招聘岗位条件</w:t>
            </w:r>
          </w:p>
        </w:tc>
        <w:tc>
          <w:tcPr>
            <w:tcW w:w="600"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其他</w:t>
            </w:r>
          </w:p>
        </w:tc>
        <w:tc>
          <w:tcPr>
            <w:tcW w:w="576"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开考比例</w:t>
            </w:r>
          </w:p>
        </w:tc>
        <w:tc>
          <w:tcPr>
            <w:tcW w:w="708"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考试科目</w:t>
            </w:r>
          </w:p>
        </w:tc>
        <w:tc>
          <w:tcPr>
            <w:tcW w:w="516"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945" w:hRule="atLeast"/>
        </w:trPr>
        <w:tc>
          <w:tcPr>
            <w:tcW w:w="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黑体" w:hAnsi="宋体" w:eastAsia="黑体" w:cs="黑体"/>
                <w:i w:val="0"/>
                <w:color w:val="000000"/>
                <w:sz w:val="20"/>
                <w:szCs w:val="20"/>
                <w:u w:val="none"/>
              </w:rPr>
            </w:pPr>
          </w:p>
        </w:tc>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黑体" w:hAnsi="宋体" w:eastAsia="黑体" w:cs="黑体"/>
                <w:i w:val="0"/>
                <w:color w:val="000000"/>
                <w:sz w:val="24"/>
                <w:szCs w:val="24"/>
                <w:u w:val="none"/>
              </w:rPr>
            </w:pPr>
          </w:p>
        </w:tc>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黑体" w:hAnsi="宋体" w:eastAsia="黑体" w:cs="黑体"/>
                <w:i w:val="0"/>
                <w:color w:val="000000"/>
                <w:sz w:val="24"/>
                <w:szCs w:val="24"/>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黑体" w:hAnsi="宋体" w:eastAsia="黑体" w:cs="黑体"/>
                <w:i w:val="0"/>
                <w:color w:val="000000"/>
                <w:sz w:val="24"/>
                <w:szCs w:val="24"/>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黑体" w:hAnsi="宋体" w:eastAsia="黑体" w:cs="黑体"/>
                <w:i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黑体" w:hAnsi="宋体" w:eastAsia="黑体" w:cs="黑体"/>
                <w:i w:val="0"/>
                <w:color w:val="000000"/>
                <w:sz w:val="24"/>
                <w:szCs w:val="24"/>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黑体" w:hAnsi="宋体" w:eastAsia="黑体" w:cs="黑体"/>
                <w:i w:val="0"/>
                <w:color w:val="000000"/>
                <w:sz w:val="24"/>
                <w:szCs w:val="24"/>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年龄</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0"/>
                <w:szCs w:val="20"/>
                <w:u w:val="none"/>
                <w:lang w:eastAsia="zh-CN"/>
              </w:rPr>
            </w:pPr>
            <w:r>
              <w:rPr>
                <w:rFonts w:hint="eastAsia" w:ascii="黑体" w:hAnsi="宋体" w:eastAsia="黑体" w:cs="黑体"/>
                <w:i w:val="0"/>
                <w:color w:val="000000"/>
                <w:sz w:val="20"/>
                <w:szCs w:val="20"/>
                <w:u w:val="none"/>
                <w:lang w:eastAsia="zh-CN"/>
              </w:rPr>
              <w:t>学历要求</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专业</w:t>
            </w:r>
          </w:p>
        </w:tc>
        <w:tc>
          <w:tcPr>
            <w:tcW w:w="3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招聘对象</w:t>
            </w:r>
          </w:p>
        </w:tc>
        <w:tc>
          <w:tcPr>
            <w:tcW w:w="60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4"/>
                <w:szCs w:val="24"/>
                <w:u w:val="none"/>
              </w:rPr>
            </w:pPr>
          </w:p>
        </w:tc>
        <w:tc>
          <w:tcPr>
            <w:tcW w:w="57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4"/>
                <w:szCs w:val="24"/>
                <w:u w:val="none"/>
              </w:rPr>
            </w:pPr>
          </w:p>
        </w:tc>
        <w:tc>
          <w:tcPr>
            <w:tcW w:w="70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黑体" w:hAnsi="宋体" w:eastAsia="黑体" w:cs="黑体"/>
                <w:i w:val="0"/>
                <w:color w:val="000000"/>
                <w:sz w:val="24"/>
                <w:szCs w:val="24"/>
                <w:u w:val="none"/>
              </w:rPr>
            </w:pPr>
          </w:p>
        </w:tc>
        <w:tc>
          <w:tcPr>
            <w:tcW w:w="51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黑体" w:hAnsi="宋体" w:eastAsia="黑体" w:cs="黑体"/>
                <w:i w:val="0"/>
                <w:color w:val="000000"/>
                <w:sz w:val="24"/>
                <w:szCs w:val="24"/>
                <w:u w:val="none"/>
              </w:rPr>
            </w:pPr>
          </w:p>
        </w:tc>
      </w:tr>
      <w:tr>
        <w:tblPrEx>
          <w:tblCellMar>
            <w:top w:w="0" w:type="dxa"/>
            <w:left w:w="0" w:type="dxa"/>
            <w:bottom w:w="0" w:type="dxa"/>
            <w:right w:w="0" w:type="dxa"/>
          </w:tblCellMar>
        </w:tblPrEx>
        <w:trPr>
          <w:trHeight w:val="3300" w:hRule="atLeast"/>
        </w:trPr>
        <w:tc>
          <w:tcPr>
            <w:tcW w:w="3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color w:val="000000"/>
                <w:sz w:val="22"/>
                <w:szCs w:val="22"/>
                <w:u w:val="none"/>
                <w:lang w:val="en-US"/>
              </w:rPr>
            </w:pPr>
            <w:r>
              <w:rPr>
                <w:rFonts w:hint="eastAsia" w:ascii="仿宋_GB2312" w:hAnsi="宋体" w:eastAsia="仿宋_GB2312" w:cs="仿宋_GB2312"/>
                <w:i w:val="0"/>
                <w:color w:val="000000"/>
                <w:kern w:val="0"/>
                <w:sz w:val="22"/>
                <w:szCs w:val="22"/>
                <w:u w:val="none"/>
                <w:lang w:val="en-US" w:eastAsia="zh-CN" w:bidi="ar"/>
              </w:rPr>
              <w:t>20200101</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邻水县乡镇事业单位</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公益 一类</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管理 岗位</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综合  管理</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35周岁及以下，硕士研究生40周岁及以下</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全日制普通高校专科及以上</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不限</w:t>
            </w:r>
          </w:p>
        </w:tc>
        <w:tc>
          <w:tcPr>
            <w:tcW w:w="3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  2020年12月22日前，在邻水县服务期满且考核合格，尚未被机关事业单位正式录（聘）用的大学生村(社区)干部、“三支一扶”计划、“大学生志愿服务西部计划”、“社工人才百人计划”以及“农村义务教育阶段学校教师特设岗位计划”等五类服务基层项目人员和户籍在邻水县尚未被机关事业单位正式录（聘）用的退役大学生士兵。</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color w:val="000000"/>
                <w:sz w:val="22"/>
                <w:szCs w:val="22"/>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t>3:1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color w:val="000000"/>
                <w:sz w:val="22"/>
                <w:szCs w:val="22"/>
                <w:u w:val="none"/>
                <w:lang w:eastAsia="zh-CN"/>
              </w:rPr>
            </w:pPr>
            <w:r>
              <w:rPr>
                <w:rFonts w:hint="eastAsia" w:ascii="仿宋_GB2312" w:hAnsi="宋体" w:eastAsia="仿宋_GB2312" w:cs="仿宋_GB2312"/>
                <w:i w:val="0"/>
                <w:color w:val="000000"/>
                <w:sz w:val="22"/>
                <w:szCs w:val="22"/>
                <w:u w:val="none"/>
                <w:lang w:eastAsia="zh-CN"/>
              </w:rPr>
              <w:t>《综合知识》</w:t>
            </w:r>
          </w:p>
        </w:tc>
        <w:tc>
          <w:tcPr>
            <w:tcW w:w="5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宋体" w:eastAsia="仿宋_GB2312" w:cs="仿宋_GB2312"/>
                <w:i w:val="0"/>
                <w:color w:val="000000"/>
                <w:sz w:val="22"/>
                <w:szCs w:val="22"/>
                <w:u w:val="none"/>
              </w:rPr>
            </w:pPr>
          </w:p>
        </w:tc>
      </w:tr>
    </w:tbl>
    <w:p>
      <w:pPr>
        <w:keepNext w:val="0"/>
        <w:keepLines w:val="0"/>
        <w:pageBreakBefore w:val="0"/>
        <w:widowControl w:val="0"/>
        <w:kinsoku/>
        <w:wordWrap/>
        <w:overflowPunct/>
        <w:topLinePunct w:val="0"/>
        <w:autoSpaceDE/>
        <w:autoSpaceDN/>
        <w:bidi w:val="0"/>
        <w:spacing w:line="590" w:lineRule="exact"/>
        <w:textAlignment w:val="auto"/>
        <w:rPr>
          <w:rFonts w:hint="default" w:ascii="Times New Roman" w:hAnsi="Times New Roman" w:eastAsia="方正仿宋_GBK" w:cs="方正仿宋_GBK"/>
          <w:color w:val="000000"/>
          <w:sz w:val="33"/>
          <w:szCs w:val="33"/>
          <w:lang w:val="en-US" w:eastAsia="zh-CN"/>
        </w:rPr>
        <w:sectPr>
          <w:footerReference r:id="rId3" w:type="default"/>
          <w:footerReference r:id="rId4" w:type="even"/>
          <w:pgSz w:w="16838" w:h="11906" w:orient="landscape"/>
          <w:pgMar w:top="1474" w:right="1440" w:bottom="1474" w:left="1440" w:header="851" w:footer="1474" w:gutter="0"/>
          <w:pgNumType w:fmt="decimal" w:start="1"/>
          <w:cols w:space="0" w:num="1"/>
          <w:rtlGutter w:val="0"/>
          <w:docGrid w:type="lines" w:linePitch="595"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Tahoma">
    <w:panose1 w:val="020B0604030504040204"/>
    <w:charset w:val="00"/>
    <w:family w:val="auto"/>
    <w:pitch w:val="default"/>
    <w:sig w:usb0="61007A87" w:usb1="80000000" w:usb2="00000008" w:usb3="00000000" w:csb0="200101FF" w:csb1="20280000"/>
  </w:font>
  <w:font w:name="方正黑体_GBK">
    <w:altName w:val="黑体"/>
    <w:panose1 w:val="03000509000000000000"/>
    <w:charset w:val="86"/>
    <w:family w:val="auto"/>
    <w:pitch w:val="default"/>
    <w:sig w:usb0="00000000" w:usb1="00000000" w:usb2="00000000" w:usb3="00000000" w:csb0="00040000" w:csb1="00000000"/>
  </w:font>
  <w:font w:name="方正小标宋_GBK">
    <w:altName w:val="宋体"/>
    <w:panose1 w:val="03000509000000000000"/>
    <w:charset w:val="86"/>
    <w:family w:val="auto"/>
    <w:pitch w:val="default"/>
    <w:sig w:usb0="00000000" w:usb1="00000000" w:usb2="00000000" w:usb3="00000000" w:csb0="00040000" w:csb1="00000000"/>
  </w:font>
  <w:font w:name="方正仿宋_GBK">
    <w:altName w:val="宋体"/>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1552" behindDoc="0" locked="0" layoutInCell="1" allowOverlap="1">
              <wp:simplePos x="0" y="0"/>
              <wp:positionH relativeFrom="margin">
                <wp:posOffset>7933055</wp:posOffset>
              </wp:positionH>
              <wp:positionV relativeFrom="paragraph">
                <wp:posOffset>0</wp:posOffset>
              </wp:positionV>
              <wp:extent cx="930275"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9302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624.65pt;margin-top:0pt;height:144pt;width:73.25pt;mso-position-horizontal-relative:margin;z-index:251671552;mso-width-relative:page;mso-height-relative:page;" filled="f" stroked="f" coordsize="21600,21600" o:gfxdata="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fzh102AAAAAoBAAAPAAAAAAAAAAEAIAAAACIAAABkcnMvZG93&#10;bnJldi54bWxQSwECFAAUAAAACACHTuJAeW1sUjkCAABiBAAADgAAAAAAAAABACAAAAAnAQAAZHJz&#10;L2Uyb0RvYy54bWxQSwUGAAAAAAYABgBZAQAA0g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CE4E21"/>
    <w:rsid w:val="20CE4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3"/>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2020-12-08T01:19:00Z</dcterms:created>
  <dc:creator>Administrator</dc:creator>
  <cp:lastModifiedBy>Administrator</cp:lastModifiedBy>
  <dcterms:modified xsi:type="dcterms:W3CDTF">2020-12-08T01:19:38Z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