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0"/>
        <w:jc w:val="left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泸州职业技术学院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2020-2021年高层次人才引进计划</w:t>
      </w:r>
    </w:p>
    <w:tbl>
      <w:tblPr>
        <w:tblStyle w:val="2"/>
        <w:tblW w:w="832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50"/>
        <w:gridCol w:w="4499"/>
        <w:gridCol w:w="923"/>
        <w:gridCol w:w="11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招聘职位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需求人数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发酵工程、食品科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学等相关专业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机械制造及自动化、机械电子工程、机械设计及理论等相关专业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教育学、学前教育、学科教学（语文等相关专业）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计算机科学与技术、网络与信息安全、计算机软件与理论、数据库与知识工程、网络与信息安全等相关专业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电子商务、国际商务等相关专业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测绘科学与技术、大地测量学与测量工程等相关专业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酒店管理等相关专业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建筑电气与智能化等相关专业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电气工程、电力系统及其自动化等相关专业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运动康复等相关专业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英语口译等相关专业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0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C77B9"/>
    <w:rsid w:val="3F547A01"/>
    <w:rsid w:val="6BE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sbcontent_start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2020-11-16T01:57:00Z</dcterms:created>
  <dc:creator>吴兴江</dc:creator>
  <cp:lastModifiedBy>吴兴江</cp:lastModifiedBy>
  <dcterms:modified xsi:type="dcterms:W3CDTF">2020-11-16T02:04:33Z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