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4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84"/>
        <w:gridCol w:w="1496"/>
        <w:gridCol w:w="1040"/>
        <w:gridCol w:w="1957"/>
        <w:gridCol w:w="1808"/>
        <w:gridCol w:w="855"/>
        <w:gridCol w:w="1420"/>
        <w:gridCol w:w="2328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6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年龄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3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急诊科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心内科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呼吸内科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外科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眼耳鼻喉科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妇产科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检验科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医学检验专业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具有检验士及以上资格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eastAsia="方正仿宋_GBK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</w:rPr>
              <w:t xml:space="preserve"> 区二院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信息科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全日制普通高校本科及其以上学历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计算机类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40周岁及其以下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7753F"/>
    <w:rsid w:val="03E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2020-11-16T06:42:00Z</dcterms:created>
  <dc:creator>23</dc:creator>
  <cp:lastModifiedBy>23</cp:lastModifiedBy>
  <dcterms:modified xsi:type="dcterms:W3CDTF">2020-11-16T06:42:50Z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