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adjustRightInd w:val="0"/>
        <w:snapToGrid w:val="0"/>
        <w:spacing w:before="0" w:beforeAutospacing="0" w:after="0" w:afterAutospacing="0" w:line="600" w:lineRule="exact"/>
        <w:contextualSpacing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11"/>
        <w:widowControl w:val="0"/>
        <w:adjustRightInd w:val="0"/>
        <w:snapToGrid w:val="0"/>
        <w:spacing w:before="0" w:beforeAutospacing="0" w:after="0" w:afterAutospacing="0" w:line="600" w:lineRule="exact"/>
        <w:contextualSpacing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沙湾区公开招聘卫生专业技术人员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岗位一览表</w:t>
      </w:r>
    </w:p>
    <w:tbl>
      <w:tblPr>
        <w:tblStyle w:val="5"/>
        <w:tblpPr w:leftFromText="180" w:rightFromText="180" w:vertAnchor="text" w:horzAnchor="page" w:tblpX="1356" w:tblpY="111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873"/>
        <w:gridCol w:w="873"/>
        <w:gridCol w:w="599"/>
        <w:gridCol w:w="830"/>
        <w:gridCol w:w="682"/>
        <w:gridCol w:w="534"/>
        <w:gridCol w:w="872"/>
        <w:gridCol w:w="1267"/>
        <w:gridCol w:w="2670"/>
        <w:gridCol w:w="4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所需资格条件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乐山市沙湾区卫生健康局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沙湾区妇幼保健计划生育服务中心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业务副院长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2020001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1975年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日以后出生。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本科：临床医学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研究生：临床医学类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1.具有在综合医院担任过妇产科负责人以上职务工作经历；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2.具有卫生中级及以上专业技术资格。其中，取得卫生高级及以上专业技术资格的，学历可放宽至专科；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                     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妇产科主任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2020002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1975年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日以后出生。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本科：临床医学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研究生：妇产科学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1.具有在综合医院妇产科工作经历；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2.具有卫生中级及以上专业技术资格。其中，取得卫生高级及以上专业技术资格的，学历可放宽至专科；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乐山市沙湾区卫生健康局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乐山市沙湾区卫生健康局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沙湾区妇幼保健计划生育服务中心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沙湾区妇幼保健计划生育服务中心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hanging="36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本科：临床医学         </w:t>
            </w:r>
          </w:p>
          <w:p>
            <w:pPr>
              <w:widowControl/>
              <w:ind w:left="420" w:hanging="36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研究生：妇产科学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研究生：儿科学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超声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本科：临床医学、医学影像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研究生：影像医学与核医学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本科：临床医学、麻醉学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研究生：麻醉学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康复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本科：中西医临床医学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研究生：中西医结合临床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中西医结合临床（仅限临床急诊及危重病方向、肿瘤方向、实验诊断方向、影像学方向）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研究生：内科学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009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研究生：外科学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研究生：皮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病与性病学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乐山市沙湾区卫生健康局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乐山市沙湾区人民医院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本科：临床医学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研究生：临床医学类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1.具有执业医师资格证书。其中，取得卫生中级及以上专业技术资格的，年龄可放宽到40周岁（1980年1月1日及以后出生），学历可放宽至专科。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本科：临床医学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研究生：临床医学类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1.具有执业医师资格证书。其中，取得卫生中级及以上专业技术资格的，年龄可放宽到40周岁（1980年1月1日及以后出生），学历可放宽至专科。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眼耳鼻喉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本科：临床医学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研究生：临床医学类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1.具有执业医师资格证书。其中，取得卫生中级及以上专业技术资格的，年龄可放宽到40周岁（1980年1月1日及以后出生），学历可放宽至专科。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本科：麻醉学；                                  研究生：麻醉学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1.具有执业医师资格证书。其中，取得卫生中级及以上专业技术资格的，年龄可放宽到40周岁（1980年1月1日及以后出生），学历可放宽至专科。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乐山市沙湾区卫生健康局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乐山市沙湾区人民医院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放射诊断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本科：医学影像学；                               研究生：影像医学与核医学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本科：口腔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                     研究生：口腔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医学、口腔临床医学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1.具有执业医师资格证书。其中，取得卫生中级及以上专业技术资格的，年龄可放宽到45周岁（1975年1月1日及以后出生），学历可放宽至专科。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2、应届毕业生聘用后3年内需取得执业医师资格，否则予以解聘；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3、符合公开考试（考核）条件的可按程序解决编制。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院感科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普通高等教育全日制本科及以上学历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本科：预防医学；                               研究生：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流行病与卫生统计学、劳动卫生与环境卫生学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1.具有执业医师资格证书。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应届毕业生聘用后3年内需取得执业医师资格，否则予以解聘；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符合公开考试（考核）条件的可按程序解决编制。</w:t>
            </w:r>
          </w:p>
        </w:tc>
      </w:tr>
    </w:tbl>
    <w:p>
      <w:pPr>
        <w:pStyle w:val="11"/>
        <w:widowControl w:val="0"/>
        <w:adjustRightInd w:val="0"/>
        <w:snapToGrid w:val="0"/>
        <w:spacing w:before="0" w:beforeAutospacing="0" w:after="0" w:afterAutospacing="0" w:line="600" w:lineRule="exact"/>
        <w:contextualSpacing/>
        <w:rPr>
          <w:rFonts w:ascii="黑体" w:hAnsi="黑体" w:eastAsia="黑体"/>
          <w:sz w:val="32"/>
          <w:szCs w:val="32"/>
        </w:rPr>
      </w:pPr>
    </w:p>
    <w:p>
      <w:pPr>
        <w:pStyle w:val="11"/>
        <w:widowControl w:val="0"/>
        <w:adjustRightInd w:val="0"/>
        <w:snapToGrid w:val="0"/>
        <w:spacing w:before="0" w:beforeAutospacing="0" w:after="0" w:afterAutospacing="0" w:line="600" w:lineRule="exact"/>
        <w:contextualSpacing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375" w:lineRule="atLeast"/>
        <w:jc w:val="lef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44F"/>
    <w:rsid w:val="000C5AEC"/>
    <w:rsid w:val="001A5A2A"/>
    <w:rsid w:val="00266E56"/>
    <w:rsid w:val="002F2682"/>
    <w:rsid w:val="0033544F"/>
    <w:rsid w:val="003F11EA"/>
    <w:rsid w:val="0047588A"/>
    <w:rsid w:val="004D0A49"/>
    <w:rsid w:val="004F58FB"/>
    <w:rsid w:val="00526934"/>
    <w:rsid w:val="00586343"/>
    <w:rsid w:val="005C3B35"/>
    <w:rsid w:val="006A15AF"/>
    <w:rsid w:val="00746DC9"/>
    <w:rsid w:val="007B7537"/>
    <w:rsid w:val="00901C20"/>
    <w:rsid w:val="00BD4449"/>
    <w:rsid w:val="00CA657A"/>
    <w:rsid w:val="00CC4F79"/>
    <w:rsid w:val="00D1366F"/>
    <w:rsid w:val="00D5541C"/>
    <w:rsid w:val="00DE7617"/>
    <w:rsid w:val="00DE79CE"/>
    <w:rsid w:val="00FE7265"/>
    <w:rsid w:val="01B87AE7"/>
    <w:rsid w:val="02346ABB"/>
    <w:rsid w:val="04691468"/>
    <w:rsid w:val="04C85B93"/>
    <w:rsid w:val="066171C1"/>
    <w:rsid w:val="07356920"/>
    <w:rsid w:val="09E92617"/>
    <w:rsid w:val="0ACA14C1"/>
    <w:rsid w:val="0C794BB0"/>
    <w:rsid w:val="0DD971B5"/>
    <w:rsid w:val="0E0604DF"/>
    <w:rsid w:val="12221D51"/>
    <w:rsid w:val="13D30714"/>
    <w:rsid w:val="14FC74D1"/>
    <w:rsid w:val="180D458E"/>
    <w:rsid w:val="184F6232"/>
    <w:rsid w:val="192453F8"/>
    <w:rsid w:val="19551BAB"/>
    <w:rsid w:val="19796D8B"/>
    <w:rsid w:val="1DBF2B0D"/>
    <w:rsid w:val="1E41605F"/>
    <w:rsid w:val="1F807550"/>
    <w:rsid w:val="20CC5297"/>
    <w:rsid w:val="2100561A"/>
    <w:rsid w:val="21167DC7"/>
    <w:rsid w:val="2143645D"/>
    <w:rsid w:val="22982B86"/>
    <w:rsid w:val="22D74CEE"/>
    <w:rsid w:val="230E76EA"/>
    <w:rsid w:val="25AC6FBB"/>
    <w:rsid w:val="25C5397F"/>
    <w:rsid w:val="28653A4E"/>
    <w:rsid w:val="2948465E"/>
    <w:rsid w:val="2A9B64F1"/>
    <w:rsid w:val="2BBA50E6"/>
    <w:rsid w:val="2DFC47F9"/>
    <w:rsid w:val="2E005288"/>
    <w:rsid w:val="32D74B3B"/>
    <w:rsid w:val="330742DD"/>
    <w:rsid w:val="34E814A3"/>
    <w:rsid w:val="37FB492D"/>
    <w:rsid w:val="38947914"/>
    <w:rsid w:val="399446D2"/>
    <w:rsid w:val="39DD4D66"/>
    <w:rsid w:val="3AD140EA"/>
    <w:rsid w:val="3AEA5287"/>
    <w:rsid w:val="3B953E8D"/>
    <w:rsid w:val="40675877"/>
    <w:rsid w:val="41AA4364"/>
    <w:rsid w:val="4223099A"/>
    <w:rsid w:val="435166DA"/>
    <w:rsid w:val="43971F04"/>
    <w:rsid w:val="446212E8"/>
    <w:rsid w:val="46DF5A5E"/>
    <w:rsid w:val="47AC05A7"/>
    <w:rsid w:val="483B00C8"/>
    <w:rsid w:val="4B90575A"/>
    <w:rsid w:val="51CD3711"/>
    <w:rsid w:val="51F66412"/>
    <w:rsid w:val="53B22525"/>
    <w:rsid w:val="53E80AD5"/>
    <w:rsid w:val="547D356B"/>
    <w:rsid w:val="55550954"/>
    <w:rsid w:val="557F2616"/>
    <w:rsid w:val="565A27CF"/>
    <w:rsid w:val="57682C77"/>
    <w:rsid w:val="57AE4622"/>
    <w:rsid w:val="5B0705C7"/>
    <w:rsid w:val="607D45AD"/>
    <w:rsid w:val="62745D6B"/>
    <w:rsid w:val="66416372"/>
    <w:rsid w:val="665546C4"/>
    <w:rsid w:val="66F6531B"/>
    <w:rsid w:val="681F2A78"/>
    <w:rsid w:val="694F6674"/>
    <w:rsid w:val="69F54ABC"/>
    <w:rsid w:val="6A130F31"/>
    <w:rsid w:val="6B191174"/>
    <w:rsid w:val="6D9B578D"/>
    <w:rsid w:val="7035209B"/>
    <w:rsid w:val="70EE1A88"/>
    <w:rsid w:val="729B02DB"/>
    <w:rsid w:val="73170ABD"/>
    <w:rsid w:val="741F4EAF"/>
    <w:rsid w:val="747B212B"/>
    <w:rsid w:val="7A9843AB"/>
    <w:rsid w:val="7B20606D"/>
    <w:rsid w:val="7CE56557"/>
    <w:rsid w:val="7D446BE2"/>
    <w:rsid w:val="7D68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721</Words>
  <Characters>4114</Characters>
  <Lines>34</Lines>
  <Paragraphs>9</Paragraphs>
  <TotalTime>13</TotalTime>
  <ScaleCrop>false</ScaleCrop>
  <LinksUpToDate>false</LinksUpToDate>
  <CharactersWithSpaces>4826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2019-12-05T02:47:00Z</dcterms:created>
  <dc:creator>lenovo</dc:creator>
  <cp:lastModifiedBy>Administrator</cp:lastModifiedBy>
  <cp:lastPrinted>2020-10-21T01:29:00Z</cp:lastPrinted>
  <dcterms:modified xsi:type="dcterms:W3CDTF">2020-10-21T07:24:41Z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