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6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eastAsia="方正小标宋简体"/>
          <w:color w:val="000000"/>
          <w:kern w:val="0"/>
          <w:sz w:val="44"/>
          <w:szCs w:val="44"/>
          <w:lang w:val="zh-CN"/>
        </w:rPr>
        <w:t>法务审计部经理岗位任职条件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法律、审计、会计等相关专业，在国(境)外取得的学历学位须经国家教育部门认证；</w:t>
      </w:r>
      <w:r>
        <w:rPr>
          <w:rStyle w:val="5"/>
          <w:rFonts w:eastAsia="仿宋_GB2312"/>
          <w:color w:val="000000"/>
          <w:sz w:val="32"/>
          <w:szCs w:val="32"/>
        </w:rPr>
        <w:t>年龄40周岁以下，</w:t>
      </w:r>
      <w:r>
        <w:rPr>
          <w:rFonts w:eastAsia="仿宋_GB2312"/>
          <w:color w:val="000000"/>
          <w:sz w:val="32"/>
          <w:szCs w:val="32"/>
        </w:rPr>
        <w:t>熟悉国家财税、金融、审计政策和公司法、合同法、商法、民法、知识产权法等法律法规，具有3年以上法务(审计)工作经历，且取得律师（法律）执业资格或中级会计师（中级审计师）职称</w:t>
      </w:r>
      <w:r>
        <w:rPr>
          <w:rStyle w:val="5"/>
          <w:rFonts w:eastAsia="仿宋_GB2312"/>
          <w:color w:val="000000"/>
          <w:sz w:val="32"/>
          <w:szCs w:val="32"/>
        </w:rPr>
        <w:t>，法务或审计部门副总经理以上</w:t>
      </w:r>
      <w:r>
        <w:rPr>
          <w:rFonts w:eastAsia="仿宋_GB2312"/>
          <w:color w:val="000000"/>
          <w:sz w:val="32"/>
          <w:szCs w:val="32"/>
        </w:rPr>
        <w:t>职务者优先；具有较高的政治素质，较强的事业心和责任感，认真履行经济责任、政治责任和社会责任；具有良好的职业素养，遵纪守法，勤勉尽责，廉洁从业，作风形象和职业信誉好；具有清晰的法律逻辑思维能力，良好的分析、处理、应变及协调能力。</w:t>
      </w:r>
    </w:p>
    <w:p>
      <w:pPr>
        <w:pStyle w:val="2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A6257"/>
    <w:rsid w:val="4D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2020-09-18T10:42:00Z</dcterms:created>
  <dc:creator>AA~悠然宝贝</dc:creator>
  <cp:lastModifiedBy>AA~悠然宝贝</cp:lastModifiedBy>
  <dcterms:modified xsi:type="dcterms:W3CDTF">2020-09-18T10:42:37Z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