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23B" w:rsidRDefault="008065A9">
      <w:pPr>
        <w:spacing w:line="580" w:lineRule="exact"/>
        <w:jc w:val="left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2B023B" w:rsidRDefault="008065A9" w:rsidP="0068384F">
      <w:pPr>
        <w:pStyle w:val="a6"/>
        <w:spacing w:beforeLines="100" w:before="312" w:beforeAutospacing="0" w:afterLines="100" w:after="312" w:afterAutospacing="0" w:line="460" w:lineRule="exact"/>
        <w:jc w:val="center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ascii="方正小标宋_GBK" w:eastAsia="方正小标宋_GBK" w:hint="eastAsia"/>
          <w:color w:val="000000"/>
          <w:sz w:val="32"/>
          <w:szCs w:val="32"/>
        </w:rPr>
        <w:t>2020年辽宁省各市农村电力服务有限公司</w:t>
      </w:r>
      <w:r>
        <w:rPr>
          <w:rFonts w:ascii="方正小标宋_GBK" w:eastAsia="方正小标宋_GBK"/>
          <w:color w:val="000000"/>
          <w:sz w:val="32"/>
          <w:szCs w:val="32"/>
        </w:rPr>
        <w:br/>
      </w:r>
      <w:r>
        <w:rPr>
          <w:rFonts w:ascii="方正小标宋_GBK" w:eastAsia="方正小标宋_GBK" w:hint="eastAsia"/>
          <w:color w:val="000000"/>
          <w:sz w:val="32"/>
          <w:szCs w:val="32"/>
        </w:rPr>
        <w:t>联合招聘考试主要知识点</w:t>
      </w: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710"/>
        <w:gridCol w:w="6137"/>
      </w:tblGrid>
      <w:tr w:rsidR="002B023B">
        <w:trPr>
          <w:trHeight w:val="430"/>
          <w:jc w:val="center"/>
        </w:trPr>
        <w:tc>
          <w:tcPr>
            <w:tcW w:w="1660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类别</w:t>
            </w:r>
          </w:p>
        </w:tc>
        <w:tc>
          <w:tcPr>
            <w:tcW w:w="710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序号</w:t>
            </w:r>
          </w:p>
        </w:tc>
        <w:tc>
          <w:tcPr>
            <w:tcW w:w="6137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主要知识结构</w:t>
            </w:r>
          </w:p>
        </w:tc>
      </w:tr>
      <w:tr w:rsidR="002B023B">
        <w:trPr>
          <w:jc w:val="center"/>
        </w:trPr>
        <w:tc>
          <w:tcPr>
            <w:tcW w:w="1660" w:type="dxa"/>
            <w:vMerge w:val="restart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一般能力</w:t>
            </w:r>
          </w:p>
        </w:tc>
        <w:tc>
          <w:tcPr>
            <w:tcW w:w="710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6137" w:type="dxa"/>
            <w:vAlign w:val="center"/>
          </w:tcPr>
          <w:p w:rsidR="002B023B" w:rsidRDefault="008065A9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言语理解：对语言文字的综合分析能力</w:t>
            </w:r>
          </w:p>
        </w:tc>
      </w:tr>
      <w:tr w:rsidR="002B023B">
        <w:trPr>
          <w:jc w:val="center"/>
        </w:trPr>
        <w:tc>
          <w:tcPr>
            <w:tcW w:w="1660" w:type="dxa"/>
            <w:vMerge/>
            <w:vAlign w:val="center"/>
          </w:tcPr>
          <w:p w:rsidR="002B023B" w:rsidRDefault="002B023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137" w:type="dxa"/>
            <w:vAlign w:val="center"/>
          </w:tcPr>
          <w:p w:rsidR="002B023B" w:rsidRDefault="008065A9">
            <w:pPr>
              <w:pStyle w:val="a3"/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数理思维：快速理解和解决</w:t>
            </w:r>
            <w:r>
              <w:rPr>
                <w:rFonts w:hint="eastAsia"/>
                <w:sz w:val="18"/>
                <w:szCs w:val="18"/>
              </w:rPr>
              <w:t>计算、推理问题的</w:t>
            </w:r>
            <w:r>
              <w:rPr>
                <w:rFonts w:ascii="宋体" w:hAnsi="宋体" w:cs="宋体"/>
                <w:sz w:val="18"/>
                <w:szCs w:val="18"/>
              </w:rPr>
              <w:t>能力</w:t>
            </w:r>
          </w:p>
        </w:tc>
      </w:tr>
      <w:tr w:rsidR="002B023B">
        <w:trPr>
          <w:jc w:val="center"/>
        </w:trPr>
        <w:tc>
          <w:tcPr>
            <w:tcW w:w="1660" w:type="dxa"/>
            <w:vMerge/>
            <w:vAlign w:val="center"/>
          </w:tcPr>
          <w:p w:rsidR="002B023B" w:rsidRDefault="002B023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6137" w:type="dxa"/>
            <w:vAlign w:val="center"/>
          </w:tcPr>
          <w:p w:rsidR="002B023B" w:rsidRDefault="008065A9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判断推理：根据一定的先知条件，通过</w:t>
            </w:r>
            <w:r>
              <w:rPr>
                <w:rFonts w:ascii="宋体" w:hAnsi="宋体" w:cs="宋体" w:hint="eastAsia"/>
                <w:sz w:val="18"/>
                <w:szCs w:val="18"/>
              </w:rPr>
              <w:t>已有</w:t>
            </w:r>
            <w:r>
              <w:rPr>
                <w:rFonts w:ascii="宋体" w:hAnsi="宋体" w:cs="宋体"/>
                <w:sz w:val="18"/>
                <w:szCs w:val="18"/>
              </w:rPr>
              <w:t>知识、思维进行判定、推断，对事物得出结论的能力</w:t>
            </w:r>
          </w:p>
        </w:tc>
      </w:tr>
      <w:tr w:rsidR="002B023B">
        <w:trPr>
          <w:jc w:val="center"/>
        </w:trPr>
        <w:tc>
          <w:tcPr>
            <w:tcW w:w="1660" w:type="dxa"/>
            <w:vMerge/>
            <w:vAlign w:val="center"/>
          </w:tcPr>
          <w:p w:rsidR="002B023B" w:rsidRDefault="002B023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137" w:type="dxa"/>
            <w:vAlign w:val="center"/>
          </w:tcPr>
          <w:p w:rsidR="002B023B" w:rsidRDefault="008065A9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  <w:tr w:rsidR="002B023B">
        <w:trPr>
          <w:jc w:val="center"/>
        </w:trPr>
        <w:tc>
          <w:tcPr>
            <w:tcW w:w="1660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企业文化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电力与能源战略</w:t>
            </w:r>
          </w:p>
        </w:tc>
        <w:tc>
          <w:tcPr>
            <w:tcW w:w="710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6137" w:type="dxa"/>
            <w:vAlign w:val="center"/>
          </w:tcPr>
          <w:p w:rsidR="002B023B" w:rsidRDefault="008065A9" w:rsidP="0068384F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参见《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国家电网有限公司企业文化、电力与能源战略参考题库</w:t>
            </w:r>
            <w:r w:rsidR="00C94C00">
              <w:rPr>
                <w:rFonts w:ascii="宋体" w:hAnsi="宋体" w:cs="宋体" w:hint="eastAsia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2020</w:t>
            </w:r>
            <w:r w:rsidR="00C94C00">
              <w:rPr>
                <w:rFonts w:ascii="宋体" w:hAnsi="宋体" w:cs="宋体" w:hint="eastAsia"/>
                <w:sz w:val="18"/>
                <w:szCs w:val="18"/>
              </w:rPr>
              <w:t>第二批</w:t>
            </w:r>
            <w:r>
              <w:rPr>
                <w:rFonts w:ascii="宋体" w:hAnsi="宋体" w:cs="宋体" w:hint="eastAsia"/>
                <w:sz w:val="18"/>
                <w:szCs w:val="18"/>
              </w:rPr>
              <w:t>版</w:t>
            </w:r>
            <w:r w:rsidR="00C94C00">
              <w:rPr>
                <w:rFonts w:ascii="宋体" w:hAnsi="宋体" w:cs="宋体" w:hint="eastAsia"/>
                <w:sz w:val="18"/>
                <w:szCs w:val="18"/>
              </w:rPr>
              <w:t>)</w:t>
            </w:r>
            <w:r w:rsidR="00C94C00">
              <w:rPr>
                <w:rFonts w:ascii="宋体" w:hAnsi="宋体" w:cs="宋体"/>
                <w:sz w:val="18"/>
                <w:szCs w:val="18"/>
              </w:rPr>
              <w:t xml:space="preserve"> 》</w:t>
            </w:r>
          </w:p>
        </w:tc>
      </w:tr>
      <w:tr w:rsidR="002B023B">
        <w:trPr>
          <w:jc w:val="center"/>
        </w:trPr>
        <w:tc>
          <w:tcPr>
            <w:tcW w:w="1660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形势与政策</w:t>
            </w:r>
          </w:p>
        </w:tc>
        <w:tc>
          <w:tcPr>
            <w:tcW w:w="710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6137" w:type="dxa"/>
            <w:vAlign w:val="center"/>
          </w:tcPr>
          <w:p w:rsidR="002B023B" w:rsidRDefault="008065A9" w:rsidP="00400B41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中国共产党和中国政府现阶段的重大方针政策</w:t>
            </w:r>
            <w:r>
              <w:rPr>
                <w:rFonts w:ascii="宋体" w:hAnsi="宋体" w:cs="宋体" w:hint="eastAsia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z w:val="18"/>
                <w:szCs w:val="18"/>
              </w:rPr>
              <w:t>20</w:t>
            </w:r>
            <w:r w:rsidR="00400B41">
              <w:rPr>
                <w:rFonts w:ascii="宋体" w:hAnsi="宋体" w:cs="宋体" w:hint="eastAsia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sz w:val="18"/>
                <w:szCs w:val="18"/>
              </w:rPr>
              <w:t>年1月至今的国际、国内重大时事</w:t>
            </w:r>
          </w:p>
        </w:tc>
      </w:tr>
      <w:tr w:rsidR="002B023B">
        <w:trPr>
          <w:trHeight w:val="20"/>
          <w:jc w:val="center"/>
        </w:trPr>
        <w:tc>
          <w:tcPr>
            <w:tcW w:w="1660" w:type="dxa"/>
            <w:vMerge w:val="restart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计算机基础</w:t>
            </w:r>
          </w:p>
          <w:p w:rsidR="002B023B" w:rsidRDefault="002B023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6137" w:type="dxa"/>
            <w:vAlign w:val="center"/>
          </w:tcPr>
          <w:p w:rsidR="002B023B" w:rsidRDefault="008065A9"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计算机基础知识（计算机</w:t>
            </w:r>
            <w:r>
              <w:rPr>
                <w:rFonts w:ascii="宋体" w:hAnsi="宋体" w:cs="宋体" w:hint="eastAsia"/>
                <w:sz w:val="18"/>
                <w:szCs w:val="18"/>
              </w:rPr>
              <w:t>系统</w:t>
            </w:r>
            <w:r>
              <w:rPr>
                <w:rFonts w:ascii="宋体" w:hAnsi="宋体" w:cs="宋体"/>
                <w:sz w:val="18"/>
                <w:szCs w:val="18"/>
              </w:rPr>
              <w:t>组成、进制、操作系统等）</w:t>
            </w:r>
          </w:p>
        </w:tc>
      </w:tr>
      <w:tr w:rsidR="002B023B">
        <w:trPr>
          <w:trHeight w:val="20"/>
          <w:jc w:val="center"/>
        </w:trPr>
        <w:tc>
          <w:tcPr>
            <w:tcW w:w="1660" w:type="dxa"/>
            <w:vMerge/>
            <w:vAlign w:val="center"/>
          </w:tcPr>
          <w:p w:rsidR="002B023B" w:rsidRDefault="002B023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6137" w:type="dxa"/>
            <w:vAlign w:val="center"/>
          </w:tcPr>
          <w:p w:rsidR="002B023B" w:rsidRDefault="008065A9"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计算机应用（Word、Excel、PowerPoint等办公软件的应用）</w:t>
            </w:r>
          </w:p>
        </w:tc>
      </w:tr>
      <w:tr w:rsidR="002B023B">
        <w:trPr>
          <w:trHeight w:val="20"/>
          <w:jc w:val="center"/>
        </w:trPr>
        <w:tc>
          <w:tcPr>
            <w:tcW w:w="1660" w:type="dxa"/>
            <w:vMerge/>
            <w:vAlign w:val="center"/>
          </w:tcPr>
          <w:p w:rsidR="002B023B" w:rsidRDefault="002B023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6137" w:type="dxa"/>
            <w:vAlign w:val="center"/>
          </w:tcPr>
          <w:p w:rsidR="002B023B" w:rsidRDefault="008065A9">
            <w:pPr>
              <w:spacing w:line="300" w:lineRule="exact"/>
              <w:jc w:val="left"/>
              <w:rPr>
                <w:rFonts w:ascii="宋体" w:hAnsi="宋体" w:cs="宋体"/>
                <w:strike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网络技术基础（定义、</w:t>
            </w:r>
            <w:r>
              <w:rPr>
                <w:rFonts w:ascii="宋体" w:hAnsi="宋体" w:cs="宋体" w:hint="eastAsia"/>
                <w:sz w:val="18"/>
                <w:szCs w:val="18"/>
              </w:rPr>
              <w:t>分类、组成及应用</w:t>
            </w:r>
            <w:r>
              <w:rPr>
                <w:rFonts w:ascii="宋体" w:hAnsi="宋体" w:cs="宋体"/>
                <w:sz w:val="18"/>
                <w:szCs w:val="18"/>
              </w:rPr>
              <w:t>）</w:t>
            </w:r>
          </w:p>
        </w:tc>
      </w:tr>
      <w:tr w:rsidR="002B023B">
        <w:trPr>
          <w:trHeight w:val="20"/>
          <w:jc w:val="center"/>
        </w:trPr>
        <w:tc>
          <w:tcPr>
            <w:tcW w:w="1660" w:type="dxa"/>
            <w:vMerge/>
            <w:vAlign w:val="center"/>
          </w:tcPr>
          <w:p w:rsidR="002B023B" w:rsidRDefault="002B023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6137" w:type="dxa"/>
            <w:vAlign w:val="center"/>
          </w:tcPr>
          <w:p w:rsidR="002B023B" w:rsidRDefault="008065A9"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信息安全技术(定义、风险及防范、病毒及防范）</w:t>
            </w:r>
          </w:p>
        </w:tc>
      </w:tr>
      <w:tr w:rsidR="002B023B">
        <w:trPr>
          <w:trHeight w:val="20"/>
          <w:jc w:val="center"/>
        </w:trPr>
        <w:tc>
          <w:tcPr>
            <w:tcW w:w="1660" w:type="dxa"/>
            <w:vMerge/>
            <w:vAlign w:val="center"/>
          </w:tcPr>
          <w:p w:rsidR="002B023B" w:rsidRDefault="002B023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6137" w:type="dxa"/>
            <w:vAlign w:val="center"/>
          </w:tcPr>
          <w:p w:rsidR="002B023B" w:rsidRDefault="008065A9"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信息科学新技术（大数据、云计算、物联网、人工智能等概念）</w:t>
            </w:r>
          </w:p>
        </w:tc>
      </w:tr>
      <w:tr w:rsidR="002B023B">
        <w:trPr>
          <w:trHeight w:val="240"/>
          <w:jc w:val="center"/>
        </w:trPr>
        <w:tc>
          <w:tcPr>
            <w:tcW w:w="1660" w:type="dxa"/>
            <w:vMerge w:val="restart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数学</w:t>
            </w:r>
          </w:p>
          <w:p w:rsidR="002B023B" w:rsidRDefault="002B023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6137" w:type="dxa"/>
          </w:tcPr>
          <w:p w:rsidR="002B023B" w:rsidRDefault="008065A9"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集合概念、集合表示、集合间基本关系</w:t>
            </w:r>
          </w:p>
        </w:tc>
      </w:tr>
      <w:tr w:rsidR="002B023B">
        <w:trPr>
          <w:trHeight w:val="240"/>
          <w:jc w:val="center"/>
        </w:trPr>
        <w:tc>
          <w:tcPr>
            <w:tcW w:w="1660" w:type="dxa"/>
            <w:vMerge/>
            <w:vAlign w:val="center"/>
          </w:tcPr>
          <w:p w:rsidR="002B023B" w:rsidRDefault="002B023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6137" w:type="dxa"/>
          </w:tcPr>
          <w:p w:rsidR="002B023B" w:rsidRDefault="008065A9"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函数概念、函数的表示法、反函数</w:t>
            </w:r>
          </w:p>
        </w:tc>
      </w:tr>
      <w:tr w:rsidR="002B023B">
        <w:trPr>
          <w:trHeight w:val="240"/>
          <w:jc w:val="center"/>
        </w:trPr>
        <w:tc>
          <w:tcPr>
            <w:tcW w:w="1660" w:type="dxa"/>
            <w:vMerge/>
            <w:vAlign w:val="center"/>
          </w:tcPr>
          <w:p w:rsidR="002B023B" w:rsidRDefault="002B023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6137" w:type="dxa"/>
          </w:tcPr>
          <w:p w:rsidR="002B023B" w:rsidRDefault="008065A9"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函数的基本性质:函数的单调性与极值、函数单调性的判别法、函数的极值及其求法、函数奇偶性的判别法</w:t>
            </w:r>
          </w:p>
        </w:tc>
      </w:tr>
      <w:tr w:rsidR="002B023B">
        <w:trPr>
          <w:trHeight w:val="240"/>
          <w:jc w:val="center"/>
        </w:trPr>
        <w:tc>
          <w:tcPr>
            <w:tcW w:w="1660" w:type="dxa"/>
            <w:vMerge/>
            <w:vAlign w:val="center"/>
          </w:tcPr>
          <w:p w:rsidR="002B023B" w:rsidRDefault="002B023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6137" w:type="dxa"/>
          </w:tcPr>
          <w:p w:rsidR="002B023B" w:rsidRDefault="008065A9"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基本初等函数（指数函数、对数函数、</w:t>
            </w:r>
            <w:r>
              <w:rPr>
                <w:rFonts w:hint="eastAsia"/>
                <w:sz w:val="18"/>
                <w:szCs w:val="18"/>
              </w:rPr>
              <w:t>幂函数、三角函数与反三角函数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</w:tr>
      <w:tr w:rsidR="002B023B">
        <w:trPr>
          <w:trHeight w:val="240"/>
          <w:jc w:val="center"/>
        </w:trPr>
        <w:tc>
          <w:tcPr>
            <w:tcW w:w="1660" w:type="dxa"/>
            <w:vMerge/>
            <w:vAlign w:val="center"/>
          </w:tcPr>
          <w:p w:rsidR="002B023B" w:rsidRDefault="002B023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6137" w:type="dxa"/>
          </w:tcPr>
          <w:p w:rsidR="002B023B" w:rsidRDefault="008065A9"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导数的概念、初等函数的导数</w:t>
            </w:r>
          </w:p>
        </w:tc>
      </w:tr>
      <w:tr w:rsidR="002B023B">
        <w:trPr>
          <w:trHeight w:val="240"/>
          <w:jc w:val="center"/>
        </w:trPr>
        <w:tc>
          <w:tcPr>
            <w:tcW w:w="1660" w:type="dxa"/>
            <w:vMerge/>
            <w:vAlign w:val="center"/>
          </w:tcPr>
          <w:p w:rsidR="002B023B" w:rsidRDefault="002B023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6137" w:type="dxa"/>
          </w:tcPr>
          <w:p w:rsidR="002B023B" w:rsidRDefault="008065A9"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函数的可导性与连续性的关系</w:t>
            </w:r>
          </w:p>
        </w:tc>
      </w:tr>
      <w:tr w:rsidR="002B023B">
        <w:trPr>
          <w:trHeight w:val="240"/>
          <w:jc w:val="center"/>
        </w:trPr>
        <w:tc>
          <w:tcPr>
            <w:tcW w:w="1660" w:type="dxa"/>
            <w:vMerge/>
            <w:vAlign w:val="center"/>
          </w:tcPr>
          <w:p w:rsidR="002B023B" w:rsidRDefault="002B023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6137" w:type="dxa"/>
            <w:vAlign w:val="center"/>
          </w:tcPr>
          <w:p w:rsidR="002B023B" w:rsidRDefault="008065A9">
            <w:pPr>
              <w:pStyle w:val="a3"/>
              <w:spacing w:line="300" w:lineRule="exact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简单函数的图形与分析</w:t>
            </w:r>
          </w:p>
        </w:tc>
      </w:tr>
      <w:tr w:rsidR="002B023B">
        <w:trPr>
          <w:trHeight w:val="240"/>
          <w:jc w:val="center"/>
        </w:trPr>
        <w:tc>
          <w:tcPr>
            <w:tcW w:w="1660" w:type="dxa"/>
            <w:vMerge/>
            <w:vAlign w:val="center"/>
          </w:tcPr>
          <w:p w:rsidR="002B023B" w:rsidRDefault="002B023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6137" w:type="dxa"/>
          </w:tcPr>
          <w:p w:rsidR="002B023B" w:rsidRDefault="008065A9"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微积分概念</w:t>
            </w:r>
          </w:p>
        </w:tc>
      </w:tr>
      <w:tr w:rsidR="002B023B">
        <w:trPr>
          <w:trHeight w:val="240"/>
          <w:jc w:val="center"/>
        </w:trPr>
        <w:tc>
          <w:tcPr>
            <w:tcW w:w="1660" w:type="dxa"/>
            <w:vMerge/>
            <w:vAlign w:val="center"/>
          </w:tcPr>
          <w:p w:rsidR="002B023B" w:rsidRDefault="002B023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6137" w:type="dxa"/>
          </w:tcPr>
          <w:p w:rsidR="002B023B" w:rsidRDefault="008065A9"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定积分概念</w:t>
            </w:r>
          </w:p>
        </w:tc>
      </w:tr>
      <w:tr w:rsidR="002B023B">
        <w:trPr>
          <w:trHeight w:val="255"/>
          <w:jc w:val="center"/>
        </w:trPr>
        <w:tc>
          <w:tcPr>
            <w:tcW w:w="1660" w:type="dxa"/>
            <w:vMerge w:val="restart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物理</w:t>
            </w:r>
          </w:p>
          <w:p w:rsidR="002B023B" w:rsidRDefault="002B023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6137" w:type="dxa"/>
            <w:vAlign w:val="center"/>
          </w:tcPr>
          <w:p w:rsidR="002B023B" w:rsidRDefault="008065A9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质点的运动（直线运动、曲线运动）</w:t>
            </w:r>
          </w:p>
        </w:tc>
      </w:tr>
      <w:tr w:rsidR="002B023B">
        <w:trPr>
          <w:trHeight w:val="255"/>
          <w:jc w:val="center"/>
        </w:trPr>
        <w:tc>
          <w:tcPr>
            <w:tcW w:w="1660" w:type="dxa"/>
            <w:vMerge/>
            <w:vAlign w:val="center"/>
          </w:tcPr>
          <w:p w:rsidR="002B023B" w:rsidRDefault="002B023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6137" w:type="dxa"/>
            <w:vAlign w:val="center"/>
          </w:tcPr>
          <w:p w:rsidR="002B023B" w:rsidRDefault="008065A9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常见的力、力的合成与分解</w:t>
            </w:r>
          </w:p>
        </w:tc>
      </w:tr>
      <w:tr w:rsidR="002B023B">
        <w:trPr>
          <w:trHeight w:val="255"/>
          <w:jc w:val="center"/>
        </w:trPr>
        <w:tc>
          <w:tcPr>
            <w:tcW w:w="1660" w:type="dxa"/>
            <w:vMerge/>
            <w:vAlign w:val="center"/>
          </w:tcPr>
          <w:p w:rsidR="002B023B" w:rsidRDefault="002B023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6137" w:type="dxa"/>
            <w:vAlign w:val="center"/>
          </w:tcPr>
          <w:p w:rsidR="002B023B" w:rsidRDefault="008065A9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牛顿第一运动定律(惯性定律）、牛顿第二运动定律、牛顿第三运动定律</w:t>
            </w:r>
          </w:p>
        </w:tc>
      </w:tr>
      <w:tr w:rsidR="002B023B">
        <w:trPr>
          <w:trHeight w:val="255"/>
          <w:jc w:val="center"/>
        </w:trPr>
        <w:tc>
          <w:tcPr>
            <w:tcW w:w="1660" w:type="dxa"/>
            <w:vMerge/>
            <w:vAlign w:val="center"/>
          </w:tcPr>
          <w:p w:rsidR="002B023B" w:rsidRDefault="002B023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6137" w:type="dxa"/>
            <w:vAlign w:val="center"/>
          </w:tcPr>
          <w:p w:rsidR="002B023B" w:rsidRDefault="008065A9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冲量、动量、动能、势能</w:t>
            </w:r>
          </w:p>
        </w:tc>
      </w:tr>
      <w:tr w:rsidR="002B023B">
        <w:trPr>
          <w:trHeight w:val="255"/>
          <w:jc w:val="center"/>
        </w:trPr>
        <w:tc>
          <w:tcPr>
            <w:tcW w:w="1660" w:type="dxa"/>
            <w:vMerge/>
            <w:vAlign w:val="center"/>
          </w:tcPr>
          <w:p w:rsidR="002B023B" w:rsidRDefault="002B023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6137" w:type="dxa"/>
            <w:vAlign w:val="center"/>
          </w:tcPr>
          <w:p w:rsidR="002B023B" w:rsidRDefault="008065A9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能量守恒、动量守恒、机械能守恒</w:t>
            </w:r>
          </w:p>
        </w:tc>
      </w:tr>
      <w:tr w:rsidR="002B023B">
        <w:trPr>
          <w:trHeight w:val="255"/>
          <w:jc w:val="center"/>
        </w:trPr>
        <w:tc>
          <w:tcPr>
            <w:tcW w:w="1660" w:type="dxa"/>
            <w:vMerge/>
            <w:vAlign w:val="center"/>
          </w:tcPr>
          <w:p w:rsidR="002B023B" w:rsidRDefault="002B023B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6137" w:type="dxa"/>
            <w:vAlign w:val="center"/>
          </w:tcPr>
          <w:p w:rsidR="002B023B" w:rsidRDefault="008065A9">
            <w:pPr>
              <w:spacing w:line="300" w:lineRule="exact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电功、电压、电流、电容、电功率、电势能等基本概念</w:t>
            </w:r>
          </w:p>
        </w:tc>
      </w:tr>
      <w:tr w:rsidR="002B023B">
        <w:trPr>
          <w:trHeight w:val="255"/>
          <w:jc w:val="center"/>
        </w:trPr>
        <w:tc>
          <w:tcPr>
            <w:tcW w:w="1660" w:type="dxa"/>
            <w:vMerge/>
            <w:vAlign w:val="center"/>
          </w:tcPr>
          <w:p w:rsidR="002B023B" w:rsidRDefault="002B023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</w:t>
            </w:r>
          </w:p>
        </w:tc>
        <w:tc>
          <w:tcPr>
            <w:tcW w:w="6137" w:type="dxa"/>
            <w:vAlign w:val="center"/>
          </w:tcPr>
          <w:p w:rsidR="002B023B" w:rsidRDefault="008065A9">
            <w:pPr>
              <w:spacing w:line="300" w:lineRule="exact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电场、磁场、电磁感应等基本概念</w:t>
            </w:r>
          </w:p>
        </w:tc>
      </w:tr>
      <w:tr w:rsidR="002B023B">
        <w:trPr>
          <w:trHeight w:val="255"/>
          <w:jc w:val="center"/>
        </w:trPr>
        <w:tc>
          <w:tcPr>
            <w:tcW w:w="1660" w:type="dxa"/>
            <w:vMerge/>
            <w:vAlign w:val="center"/>
          </w:tcPr>
          <w:p w:rsidR="002B023B" w:rsidRDefault="002B023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6137" w:type="dxa"/>
            <w:vAlign w:val="center"/>
          </w:tcPr>
          <w:p w:rsidR="002B023B" w:rsidRDefault="008065A9">
            <w:pPr>
              <w:spacing w:line="300" w:lineRule="exact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焦耳定律、电荷守恒定律、库仑定律</w:t>
            </w:r>
          </w:p>
        </w:tc>
      </w:tr>
      <w:tr w:rsidR="002B023B">
        <w:trPr>
          <w:trHeight w:val="557"/>
          <w:jc w:val="center"/>
        </w:trPr>
        <w:tc>
          <w:tcPr>
            <w:tcW w:w="1660" w:type="dxa"/>
            <w:vMerge/>
            <w:vAlign w:val="center"/>
          </w:tcPr>
          <w:p w:rsidR="002B023B" w:rsidRDefault="002B023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6137" w:type="dxa"/>
            <w:vAlign w:val="center"/>
          </w:tcPr>
          <w:p w:rsidR="002B023B" w:rsidRDefault="008065A9">
            <w:pPr>
              <w:spacing w:line="300" w:lineRule="exact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直流电路（电路基本概念与基本定律、线性电阻电路串并联、等效变换、戴维南原理等）</w:t>
            </w:r>
          </w:p>
        </w:tc>
      </w:tr>
      <w:tr w:rsidR="002B023B">
        <w:trPr>
          <w:trHeight w:val="392"/>
          <w:jc w:val="center"/>
        </w:trPr>
        <w:tc>
          <w:tcPr>
            <w:tcW w:w="1660" w:type="dxa"/>
            <w:vMerge/>
            <w:vAlign w:val="center"/>
          </w:tcPr>
          <w:p w:rsidR="002B023B" w:rsidRDefault="002B023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6137" w:type="dxa"/>
            <w:vAlign w:val="center"/>
          </w:tcPr>
          <w:p w:rsidR="002B023B" w:rsidRDefault="008065A9">
            <w:pPr>
              <w:spacing w:line="300" w:lineRule="exact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单相正弦交流电路（相量的表示方法、简单电路分析、功率因数的提高等）</w:t>
            </w:r>
          </w:p>
        </w:tc>
      </w:tr>
      <w:tr w:rsidR="002B023B">
        <w:trPr>
          <w:trHeight w:val="255"/>
          <w:jc w:val="center"/>
        </w:trPr>
        <w:tc>
          <w:tcPr>
            <w:tcW w:w="1660" w:type="dxa"/>
            <w:vMerge/>
            <w:vAlign w:val="center"/>
          </w:tcPr>
          <w:p w:rsidR="002B023B" w:rsidRDefault="002B023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B023B" w:rsidRDefault="008065A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31</w:t>
            </w:r>
          </w:p>
        </w:tc>
        <w:tc>
          <w:tcPr>
            <w:tcW w:w="6137" w:type="dxa"/>
            <w:vAlign w:val="center"/>
          </w:tcPr>
          <w:p w:rsidR="002B023B" w:rsidRDefault="008065A9">
            <w:pPr>
              <w:spacing w:line="300" w:lineRule="exact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三相正弦交流电路（三相电路基本概念）</w:t>
            </w:r>
          </w:p>
        </w:tc>
      </w:tr>
    </w:tbl>
    <w:p w:rsidR="002B023B" w:rsidRDefault="002B023B">
      <w:pPr>
        <w:spacing w:line="300" w:lineRule="exact"/>
        <w:rPr>
          <w:sz w:val="18"/>
          <w:szCs w:val="18"/>
        </w:rPr>
      </w:pPr>
    </w:p>
    <w:sectPr w:rsidR="002B023B" w:rsidSect="002B023B">
      <w:footerReference w:type="even" r:id="rId8"/>
      <w:pgSz w:w="11906" w:h="16838"/>
      <w:pgMar w:top="1077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6F5" w:rsidRDefault="004166F5" w:rsidP="002B023B">
      <w:r>
        <w:separator/>
      </w:r>
    </w:p>
  </w:endnote>
  <w:endnote w:type="continuationSeparator" w:id="0">
    <w:p w:rsidR="004166F5" w:rsidRDefault="004166F5" w:rsidP="002B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23B" w:rsidRDefault="000C25A1">
    <w:pPr>
      <w:pStyle w:val="a4"/>
      <w:numPr>
        <w:ilvl w:val="0"/>
        <w:numId w:val="1"/>
      </w:numPr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8065A9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8065A9"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 w:rsidR="008065A9">
      <w:t>—</w:t>
    </w:r>
  </w:p>
  <w:p w:rsidR="002B023B" w:rsidRDefault="002B02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6F5" w:rsidRDefault="004166F5" w:rsidP="002B023B">
      <w:r>
        <w:separator/>
      </w:r>
    </w:p>
  </w:footnote>
  <w:footnote w:type="continuationSeparator" w:id="0">
    <w:p w:rsidR="004166F5" w:rsidRDefault="004166F5" w:rsidP="002B0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D2DFE"/>
    <w:multiLevelType w:val="multilevel"/>
    <w:tmpl w:val="1A4D2DFE"/>
    <w:lvl w:ilvl="0">
      <w:start w:val="6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  <w:sz w:val="1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D8"/>
    <w:rsid w:val="000C25A1"/>
    <w:rsid w:val="00163394"/>
    <w:rsid w:val="002B023B"/>
    <w:rsid w:val="00400B41"/>
    <w:rsid w:val="004166F5"/>
    <w:rsid w:val="005F4861"/>
    <w:rsid w:val="006623A7"/>
    <w:rsid w:val="0068256B"/>
    <w:rsid w:val="0068384F"/>
    <w:rsid w:val="006859D3"/>
    <w:rsid w:val="00745466"/>
    <w:rsid w:val="007521D8"/>
    <w:rsid w:val="008065A9"/>
    <w:rsid w:val="0092107C"/>
    <w:rsid w:val="00987FEC"/>
    <w:rsid w:val="00A42B28"/>
    <w:rsid w:val="00C94C00"/>
    <w:rsid w:val="7A007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5377BB-C0E9-4927-9DE3-4C9DD2F7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3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2B023B"/>
    <w:pPr>
      <w:jc w:val="left"/>
    </w:pPr>
    <w:rPr>
      <w:rFonts w:ascii="Times New Roman" w:hAnsi="Times New Roman"/>
    </w:rPr>
  </w:style>
  <w:style w:type="paragraph" w:styleId="a4">
    <w:name w:val="footer"/>
    <w:basedOn w:val="a"/>
    <w:link w:val="Char0"/>
    <w:uiPriority w:val="99"/>
    <w:rsid w:val="002B0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B0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2B02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脚 Char"/>
    <w:basedOn w:val="a0"/>
    <w:link w:val="a4"/>
    <w:uiPriority w:val="99"/>
    <w:qFormat/>
    <w:rsid w:val="002B023B"/>
    <w:rPr>
      <w:rFonts w:ascii="Calibri" w:eastAsia="宋体" w:hAnsi="Calibri" w:cs="Times New Roman"/>
      <w:sz w:val="18"/>
      <w:szCs w:val="18"/>
    </w:rPr>
  </w:style>
  <w:style w:type="character" w:customStyle="1" w:styleId="NormalCharacter">
    <w:name w:val="NormalCharacter"/>
    <w:qFormat/>
    <w:rsid w:val="002B023B"/>
    <w:rPr>
      <w:kern w:val="2"/>
      <w:sz w:val="21"/>
      <w:lang w:val="en-US" w:eastAsia="zh-CN" w:bidi="ar-SA"/>
    </w:rPr>
  </w:style>
  <w:style w:type="character" w:customStyle="1" w:styleId="Char">
    <w:name w:val="批注文字 Char"/>
    <w:basedOn w:val="a0"/>
    <w:link w:val="a3"/>
    <w:uiPriority w:val="99"/>
    <w:qFormat/>
    <w:rsid w:val="002B023B"/>
    <w:rPr>
      <w:rFonts w:ascii="Times New Roman" w:eastAsia="宋体" w:hAnsi="Times New Roman" w:cs="Times New Roman"/>
    </w:rPr>
  </w:style>
  <w:style w:type="character" w:customStyle="1" w:styleId="Char1">
    <w:name w:val="页眉 Char"/>
    <w:basedOn w:val="a0"/>
    <w:link w:val="a5"/>
    <w:uiPriority w:val="99"/>
    <w:semiHidden/>
    <w:qFormat/>
    <w:rsid w:val="002B023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huatu</cp:lastModifiedBy>
  <cp:revision>2</cp:revision>
  <cp:lastPrinted>2020-09-14T06:23:00Z</cp:lastPrinted>
  <dcterms:created xsi:type="dcterms:W3CDTF">2020-09-15T09:41:00Z</dcterms:created>
  <dcterms:modified xsi:type="dcterms:W3CDTF">2020-09-15T09:41:00Z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