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0C" w:rsidRPr="00AA180C" w:rsidRDefault="00AA180C" w:rsidP="00AA180C">
      <w:pPr>
        <w:widowControl/>
        <w:shd w:val="clear" w:color="auto" w:fill="F6F6F6"/>
        <w:spacing w:before="120" w:after="120" w:line="461" w:lineRule="atLeast"/>
        <w:ind w:firstLineChars="0" w:firstLine="380"/>
        <w:jc w:val="center"/>
        <w:rPr>
          <w:rFonts w:ascii="仿宋_GB2312" w:eastAsia="仿宋_GB2312" w:hAnsi="宋体" w:cs="宋体"/>
          <w:b/>
          <w:color w:val="000000"/>
          <w:kern w:val="0"/>
          <w:sz w:val="32"/>
          <w:szCs w:val="32"/>
        </w:rPr>
      </w:pPr>
      <w:r w:rsidRPr="00AA180C">
        <w:rPr>
          <w:rFonts w:ascii="仿宋_GB2312" w:eastAsia="仿宋_GB2312" w:hAnsi="宋体" w:cs="宋体" w:hint="eastAsia"/>
          <w:b/>
          <w:color w:val="000000"/>
          <w:kern w:val="0"/>
          <w:sz w:val="19"/>
          <w:szCs w:val="19"/>
        </w:rPr>
        <w:t>2020年张家界市人民医院公开引进急需紧缺人才职位计划表</w:t>
      </w:r>
    </w:p>
    <w:tbl>
      <w:tblPr>
        <w:tblStyle w:val="a"/>
        <w:tblW w:w="0" w:type="auto"/>
        <w:shd w:val="clear" w:color="auto" w:fill="F6F6F6"/>
        <w:tblCellMar>
          <w:top w:w="15" w:type="dxa"/>
          <w:left w:w="15" w:type="dxa"/>
          <w:bottom w:w="15" w:type="dxa"/>
          <w:right w:w="15" w:type="dxa"/>
        </w:tblCellMar>
        <w:tblLook w:val="04A0"/>
      </w:tblPr>
      <w:tblGrid>
        <w:gridCol w:w="1076"/>
        <w:gridCol w:w="283"/>
        <w:gridCol w:w="270"/>
        <w:gridCol w:w="475"/>
        <w:gridCol w:w="1213"/>
        <w:gridCol w:w="760"/>
        <w:gridCol w:w="455"/>
        <w:gridCol w:w="596"/>
        <w:gridCol w:w="788"/>
        <w:gridCol w:w="2420"/>
      </w:tblGrid>
      <w:tr w:rsidR="00AA180C" w:rsidRPr="00AA180C" w:rsidTr="00AA180C">
        <w:trPr>
          <w:trHeight w:val="390"/>
        </w:trPr>
        <w:tc>
          <w:tcPr>
            <w:tcW w:w="2170"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hint="eastAsia"/>
                <w:color w:val="000000"/>
                <w:kern w:val="0"/>
                <w:sz w:val="24"/>
                <w:szCs w:val="24"/>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引进岗位</w:t>
            </w:r>
          </w:p>
        </w:tc>
        <w:tc>
          <w:tcPr>
            <w:tcW w:w="10872" w:type="dxa"/>
            <w:gridSpan w:val="8"/>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引进计划及岗位要求</w:t>
            </w:r>
          </w:p>
        </w:tc>
        <w:tc>
          <w:tcPr>
            <w:tcW w:w="1087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41"/>
        </w:trPr>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黑体" w:eastAsia="黑体" w:hAnsi="黑体" w:cs="宋体"/>
                <w:color w:val="000000"/>
                <w:kern w:val="0"/>
                <w:sz w:val="24"/>
                <w:szCs w:val="24"/>
              </w:rPr>
            </w:pP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管理</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专技</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年龄要求</w:t>
            </w:r>
          </w:p>
        </w:tc>
        <w:tc>
          <w:tcPr>
            <w:tcW w:w="152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学历学位要求</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专业要求</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职称要求</w:t>
            </w:r>
          </w:p>
        </w:tc>
        <w:tc>
          <w:tcPr>
            <w:tcW w:w="13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其他要求</w:t>
            </w:r>
          </w:p>
        </w:tc>
        <w:tc>
          <w:tcPr>
            <w:tcW w:w="224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46" w:lineRule="atLeast"/>
              <w:ind w:firstLineChars="0" w:firstLine="0"/>
              <w:jc w:val="center"/>
              <w:rPr>
                <w:rFonts w:ascii="黑体" w:eastAsia="黑体" w:hAnsi="黑体" w:cs="宋体"/>
                <w:color w:val="000000"/>
                <w:kern w:val="0"/>
                <w:sz w:val="24"/>
                <w:szCs w:val="24"/>
              </w:rPr>
            </w:pPr>
            <w:r w:rsidRPr="00AA180C">
              <w:rPr>
                <w:rFonts w:ascii="黑体" w:eastAsia="黑体" w:hAnsi="黑体" w:cs="宋体" w:hint="eastAsia"/>
                <w:color w:val="000000"/>
                <w:kern w:val="0"/>
                <w:sz w:val="19"/>
                <w:szCs w:val="19"/>
              </w:rPr>
              <w:t>工资待遇</w:t>
            </w:r>
          </w:p>
        </w:tc>
        <w:tc>
          <w:tcPr>
            <w:tcW w:w="224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5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耳鼻咽喉科医生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22"/>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1524"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288" w:lineRule="atLeast"/>
              <w:ind w:firstLineChars="0" w:firstLine="0"/>
              <w:jc w:val="center"/>
              <w:rPr>
                <w:rFonts w:ascii="Calibri" w:eastAsia="宋体" w:hAnsi="Calibri" w:cs="Calibri"/>
                <w:color w:val="000000"/>
                <w:kern w:val="0"/>
                <w:sz w:val="20"/>
                <w:szCs w:val="20"/>
              </w:rPr>
            </w:pPr>
            <w:r w:rsidRPr="00AA180C">
              <w:rPr>
                <w:rFonts w:ascii="Calibri" w:eastAsia="宋体" w:hAnsi="Calibri" w:cs="Calibri"/>
                <w:color w:val="000000"/>
                <w:kern w:val="0"/>
                <w:sz w:val="19"/>
                <w:szCs w:val="19"/>
              </w:rPr>
              <w:t>全日制硕士研究生或</w:t>
            </w:r>
            <w:r w:rsidRPr="00AA180C">
              <w:rPr>
                <w:rFonts w:ascii="Calibri" w:eastAsia="宋体" w:hAnsi="Calibri" w:cs="Calibri"/>
                <w:color w:val="000000"/>
                <w:kern w:val="0"/>
                <w:sz w:val="19"/>
                <w:szCs w:val="19"/>
              </w:rPr>
              <w:t>2017</w:t>
            </w:r>
            <w:r w:rsidRPr="00AA180C">
              <w:rPr>
                <w:rFonts w:ascii="Calibri" w:eastAsia="宋体" w:hAnsi="Calibri" w:cs="Calibri"/>
                <w:color w:val="000000"/>
                <w:kern w:val="0"/>
                <w:sz w:val="19"/>
                <w:szCs w:val="19"/>
              </w:rPr>
              <w:t>年以来通过全国硕士研究生招生统一考试的非全日制硕士研究生</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耳鼻咽喉科学、中西医结合临床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12"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具有相应岗位执业资格；</w:t>
            </w:r>
          </w:p>
        </w:tc>
        <w:tc>
          <w:tcPr>
            <w:tcW w:w="2241"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基本工资按国家工资标准执行，绩效工资按医院经管方案执行，享受张家界市人才引进待遇：1.博士学位或正高级职称：购房补助30万元、安家费10万元、五年内每月生活补助2000元； 2.硕士研究生：购房补助4万元、安家费3万元、五年内每月生活补</w:t>
            </w:r>
            <w:r w:rsidRPr="00AA180C">
              <w:rPr>
                <w:rFonts w:ascii="宋体" w:eastAsia="宋体" w:hAnsi="宋体" w:cs="宋体" w:hint="eastAsia"/>
                <w:color w:val="000000"/>
                <w:kern w:val="0"/>
                <w:sz w:val="19"/>
                <w:szCs w:val="19"/>
              </w:rPr>
              <w:lastRenderedPageBreak/>
              <w:t>助1000元。</w:t>
            </w:r>
          </w:p>
        </w:tc>
        <w:tc>
          <w:tcPr>
            <w:tcW w:w="2241" w:type="dxa"/>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lastRenderedPageBreak/>
              <w:t> </w:t>
            </w:r>
          </w:p>
        </w:tc>
      </w:tr>
      <w:tr w:rsidR="00AA180C" w:rsidRPr="00AA180C" w:rsidTr="00AA180C">
        <w:trPr>
          <w:trHeight w:val="55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288" w:lineRule="atLeast"/>
              <w:ind w:firstLineChars="0" w:firstLine="0"/>
              <w:jc w:val="center"/>
              <w:rPr>
                <w:rFonts w:ascii="宋体" w:eastAsia="宋体" w:hAnsi="宋体" w:cs="宋体"/>
                <w:color w:val="000000"/>
                <w:kern w:val="0"/>
                <w:sz w:val="20"/>
                <w:szCs w:val="20"/>
              </w:rPr>
            </w:pPr>
            <w:r w:rsidRPr="00AA180C">
              <w:rPr>
                <w:rFonts w:ascii="宋体" w:eastAsia="宋体" w:hAnsi="宋体" w:cs="宋体" w:hint="eastAsia"/>
                <w:color w:val="000000"/>
                <w:kern w:val="0"/>
                <w:sz w:val="19"/>
                <w:szCs w:val="19"/>
              </w:rPr>
              <w:t>产科医生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妇产科学、外科学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5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小儿外科医生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5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儿科医生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儿科学、中西医结合临床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5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眼科医生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1524"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288" w:lineRule="atLeast"/>
              <w:ind w:firstLineChars="0" w:firstLine="0"/>
              <w:rPr>
                <w:rFonts w:ascii="Calibri" w:eastAsia="宋体" w:hAnsi="Calibri" w:cs="Calibri"/>
                <w:color w:val="000000"/>
                <w:kern w:val="0"/>
                <w:sz w:val="20"/>
                <w:szCs w:val="20"/>
              </w:rPr>
            </w:pPr>
            <w:r w:rsidRPr="00AA180C">
              <w:rPr>
                <w:rFonts w:ascii="Calibri" w:eastAsia="宋体" w:hAnsi="Calibri" w:cs="Calibri"/>
                <w:color w:val="000000"/>
                <w:kern w:val="0"/>
                <w:sz w:val="19"/>
                <w:szCs w:val="19"/>
              </w:rPr>
              <w:t>全日制硕士研究生或</w:t>
            </w:r>
            <w:r w:rsidRPr="00AA180C">
              <w:rPr>
                <w:rFonts w:ascii="Calibri" w:eastAsia="宋体" w:hAnsi="Calibri" w:cs="Calibri"/>
                <w:color w:val="000000"/>
                <w:kern w:val="0"/>
                <w:sz w:val="19"/>
                <w:szCs w:val="19"/>
              </w:rPr>
              <w:t>2017</w:t>
            </w:r>
            <w:r w:rsidRPr="00AA180C">
              <w:rPr>
                <w:rFonts w:ascii="Calibri" w:eastAsia="宋体" w:hAnsi="Calibri" w:cs="Calibri"/>
                <w:color w:val="000000"/>
                <w:kern w:val="0"/>
                <w:sz w:val="19"/>
                <w:szCs w:val="19"/>
              </w:rPr>
              <w:t>年以来通过全国硕士研究生招生统一考试的非全日制硕士研究生</w:t>
            </w:r>
            <w:r w:rsidRPr="00AA180C">
              <w:rPr>
                <w:rFonts w:ascii="宋体" w:eastAsia="宋体" w:hAnsi="宋体" w:cs="Calibri" w:hint="eastAsia"/>
                <w:color w:val="000000"/>
                <w:kern w:val="0"/>
                <w:sz w:val="19"/>
                <w:szCs w:val="19"/>
              </w:rPr>
              <w:t>（第一学历为全日制本科）</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眼科学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12"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具有相应岗位执业资格，规培证；</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12" w:type="dxa"/>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45"/>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口腔科医生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口腔临床医学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3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胸心外科医生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1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骨科医生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7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妇科医生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w:t>
            </w:r>
            <w:r w:rsidRPr="00AA180C">
              <w:rPr>
                <w:rFonts w:ascii="宋体" w:eastAsia="宋体" w:hAnsi="宋体" w:cs="宋体" w:hint="eastAsia"/>
                <w:color w:val="000000"/>
                <w:kern w:val="0"/>
                <w:sz w:val="19"/>
                <w:szCs w:val="19"/>
              </w:rPr>
              <w:lastRenderedPageBreak/>
              <w:t>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妇产科</w:t>
            </w:r>
            <w:r w:rsidRPr="00AA180C">
              <w:rPr>
                <w:rFonts w:ascii="宋体" w:eastAsia="宋体" w:hAnsi="宋体" w:cs="宋体" w:hint="eastAsia"/>
                <w:color w:val="000000"/>
                <w:kern w:val="0"/>
                <w:sz w:val="19"/>
                <w:szCs w:val="19"/>
              </w:rPr>
              <w:lastRenderedPageBreak/>
              <w:t>学、外科学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医师</w:t>
            </w:r>
            <w:r w:rsidRPr="00AA180C">
              <w:rPr>
                <w:rFonts w:ascii="宋体" w:eastAsia="宋体" w:hAnsi="宋体" w:cs="宋体" w:hint="eastAsia"/>
                <w:color w:val="000000"/>
                <w:kern w:val="0"/>
                <w:sz w:val="19"/>
                <w:szCs w:val="19"/>
              </w:rPr>
              <w:lastRenderedPageBreak/>
              <w:t>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4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乳甲外科医生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4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普外科医生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549"/>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 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14"/>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心内科医生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538" w:type="dxa"/>
            <w:tcBorders>
              <w:left w:val="single" w:sz="6" w:space="0" w:color="000000"/>
            </w:tcBorders>
            <w:shd w:val="clear" w:color="auto" w:fill="F6F6F6"/>
            <w:vAlign w:val="center"/>
            <w:hideMark/>
          </w:tcPr>
          <w:p w:rsidR="00AA180C" w:rsidRPr="00AA180C" w:rsidRDefault="00AA180C" w:rsidP="00AA180C">
            <w:pPr>
              <w:widowControl/>
              <w:spacing w:before="120" w:after="120" w:line="14"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r>
      <w:tr w:rsidR="00AA180C" w:rsidRPr="00AA180C" w:rsidTr="00AA180C">
        <w:trPr>
          <w:trHeight w:val="461"/>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风湿免疫科医生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1524"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288" w:lineRule="atLeast"/>
              <w:ind w:firstLineChars="0" w:firstLine="0"/>
              <w:jc w:val="center"/>
              <w:rPr>
                <w:rFonts w:ascii="Calibri" w:eastAsia="宋体" w:hAnsi="Calibri" w:cs="Calibri"/>
                <w:color w:val="000000"/>
                <w:kern w:val="0"/>
                <w:sz w:val="20"/>
                <w:szCs w:val="20"/>
              </w:rPr>
            </w:pPr>
            <w:r w:rsidRPr="00AA180C">
              <w:rPr>
                <w:rFonts w:ascii="Calibri" w:eastAsia="宋体" w:hAnsi="Calibri" w:cs="Calibri"/>
                <w:color w:val="000000"/>
                <w:kern w:val="0"/>
                <w:sz w:val="19"/>
                <w:szCs w:val="19"/>
              </w:rPr>
              <w:t>全日制硕士研究生或</w:t>
            </w:r>
            <w:r w:rsidRPr="00AA180C">
              <w:rPr>
                <w:rFonts w:ascii="Calibri" w:eastAsia="宋体" w:hAnsi="Calibri" w:cs="Calibri"/>
                <w:color w:val="000000"/>
                <w:kern w:val="0"/>
                <w:sz w:val="19"/>
                <w:szCs w:val="19"/>
              </w:rPr>
              <w:t>2017</w:t>
            </w:r>
            <w:r w:rsidRPr="00AA180C">
              <w:rPr>
                <w:rFonts w:ascii="Calibri" w:eastAsia="宋体" w:hAnsi="Calibri" w:cs="Calibri"/>
                <w:color w:val="000000"/>
                <w:kern w:val="0"/>
                <w:sz w:val="19"/>
                <w:szCs w:val="19"/>
              </w:rPr>
              <w:t>年以来通过全国硕士研究生招生统一考试的非全日制硕士研究生</w:t>
            </w:r>
            <w:r w:rsidRPr="00AA180C">
              <w:rPr>
                <w:rFonts w:ascii="宋体" w:eastAsia="宋体" w:hAnsi="宋体" w:cs="Calibri" w:hint="eastAsia"/>
                <w:color w:val="000000"/>
                <w:kern w:val="0"/>
                <w:sz w:val="19"/>
                <w:szCs w:val="19"/>
              </w:rPr>
              <w:t>（第一学历为全日制本科）</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12"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具有相应岗位执业资格，规培证；</w:t>
            </w:r>
          </w:p>
        </w:tc>
        <w:tc>
          <w:tcPr>
            <w:tcW w:w="2241" w:type="dxa"/>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2241" w:type="dxa"/>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37"/>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急诊内科医生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急诊医学、内科学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2241" w:type="dxa"/>
            <w:vMerge w:val="restart"/>
            <w:tcBorders>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基本工资按国家工资标准执行，绩效工资按医院经管方案执行，享受张家界市人才引进待遇：1.博士学位或正高级职称：购房补助30万元、安家费10万元、五年内每月生活补助2000元；</w:t>
            </w:r>
            <w:r w:rsidRPr="00AA180C">
              <w:rPr>
                <w:rFonts w:ascii="宋体" w:eastAsia="宋体" w:hAnsi="宋体" w:cs="宋体" w:hint="eastAsia"/>
                <w:color w:val="000000"/>
                <w:kern w:val="0"/>
                <w:sz w:val="19"/>
                <w:szCs w:val="19"/>
              </w:rPr>
              <w:lastRenderedPageBreak/>
              <w:t>2.硕士研究生：购房补助4万元、安家费3万元、五年内每月生活补助1000元。</w:t>
            </w:r>
          </w:p>
        </w:tc>
        <w:tc>
          <w:tcPr>
            <w:tcW w:w="2241" w:type="dxa"/>
            <w:tcBorders>
              <w:left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lastRenderedPageBreak/>
              <w:t> </w:t>
            </w:r>
          </w:p>
        </w:tc>
      </w:tr>
      <w:tr w:rsidR="00AA180C" w:rsidRPr="00AA180C" w:rsidTr="00AA180C">
        <w:trPr>
          <w:trHeight w:val="37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肿瘤内科医生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肿瘤学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20"/>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神经内科医生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神经病学、内科学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24"/>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神经介入医生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53"/>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消化内科医生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Calibri" w:eastAsia="宋体" w:hAnsi="Calibri" w:cs="Calibri"/>
                <w:color w:val="000000"/>
                <w:kern w:val="0"/>
                <w:sz w:val="20"/>
                <w:szCs w:val="20"/>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77"/>
        </w:trPr>
        <w:tc>
          <w:tcPr>
            <w:tcW w:w="2582" w:type="dxa"/>
            <w:gridSpan w:val="2"/>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呼吸与危重症医学科医生</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56"/>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重症医学科医生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4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全科医学科医生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内科学、老年医学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02"/>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肾病内科医生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45"/>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疼痛科医生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外科学、内科学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64"/>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麻醉科医生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黑体" w:eastAsia="黑体" w:hAnsi="黑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黑体" w:eastAsia="黑体" w:hAnsi="黑体" w:cs="宋体"/>
                <w:color w:val="000000"/>
                <w:kern w:val="0"/>
                <w:sz w:val="22"/>
              </w:rPr>
            </w:pPr>
            <w:r w:rsidRPr="00AA180C">
              <w:rPr>
                <w:rFonts w:ascii="黑体" w:eastAsia="黑体" w:hAnsi="黑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麻醉学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05"/>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急诊外科医生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外科学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05"/>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心理咨询门诊医生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259" w:lineRule="atLeast"/>
              <w:ind w:firstLineChars="0" w:firstLine="0"/>
              <w:jc w:val="left"/>
              <w:rPr>
                <w:rFonts w:ascii="宋体" w:eastAsia="宋体" w:hAnsi="宋体" w:cs="宋体"/>
                <w:color w:val="000000"/>
                <w:kern w:val="0"/>
                <w:sz w:val="18"/>
                <w:szCs w:val="18"/>
              </w:rPr>
            </w:pPr>
            <w:r w:rsidRPr="00AA180C">
              <w:rPr>
                <w:rFonts w:ascii="宋体" w:eastAsia="宋体" w:hAnsi="宋体" w:cs="宋体" w:hint="eastAsia"/>
                <w:color w:val="000000"/>
                <w:kern w:val="0"/>
                <w:sz w:val="19"/>
                <w:szCs w:val="19"/>
              </w:rPr>
              <w:t>精神病与精神卫生学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87"/>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皮肤科医生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皮肤病与性病学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10"/>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超声影像科医生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影像医学与核医学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10"/>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放射科医生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影像医学与核医学、放射医学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56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放射介入医生</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影像医学与核医学、放射医学、   临床医学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05"/>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医院感染管理</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黑体" w:eastAsia="黑体" w:hAnsi="黑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黑体" w:eastAsia="黑体" w:hAnsi="黑体" w:cs="宋体"/>
                <w:color w:val="000000"/>
                <w:kern w:val="0"/>
                <w:sz w:val="22"/>
              </w:rPr>
            </w:pPr>
            <w:r w:rsidRPr="00AA180C">
              <w:rPr>
                <w:rFonts w:ascii="黑体" w:eastAsia="黑体" w:hAnsi="黑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152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288" w:lineRule="atLeast"/>
              <w:ind w:firstLineChars="0" w:firstLine="0"/>
              <w:jc w:val="center"/>
              <w:rPr>
                <w:rFonts w:ascii="Calibri" w:eastAsia="宋体" w:hAnsi="Calibri" w:cs="Calibri"/>
                <w:color w:val="000000"/>
                <w:kern w:val="0"/>
                <w:sz w:val="20"/>
                <w:szCs w:val="20"/>
              </w:rPr>
            </w:pPr>
            <w:r w:rsidRPr="00AA180C">
              <w:rPr>
                <w:rFonts w:ascii="Calibri" w:eastAsia="宋体" w:hAnsi="Calibri" w:cs="Calibri"/>
                <w:color w:val="000000"/>
                <w:kern w:val="0"/>
                <w:sz w:val="19"/>
                <w:szCs w:val="19"/>
              </w:rPr>
              <w:t>全日制硕士研究生或</w:t>
            </w:r>
            <w:r w:rsidRPr="00AA180C">
              <w:rPr>
                <w:rFonts w:ascii="Calibri" w:eastAsia="宋体" w:hAnsi="Calibri" w:cs="Calibri"/>
                <w:color w:val="000000"/>
                <w:kern w:val="0"/>
                <w:sz w:val="19"/>
                <w:szCs w:val="19"/>
              </w:rPr>
              <w:t>2017</w:t>
            </w:r>
            <w:r w:rsidRPr="00AA180C">
              <w:rPr>
                <w:rFonts w:ascii="Calibri" w:eastAsia="宋体" w:hAnsi="Calibri" w:cs="Calibri"/>
                <w:color w:val="000000"/>
                <w:kern w:val="0"/>
                <w:sz w:val="19"/>
                <w:szCs w:val="19"/>
              </w:rPr>
              <w:t>年以来通过全国硕士研究生招生统一考试的非全日制硕士研究生</w:t>
            </w:r>
            <w:r w:rsidRPr="00AA180C">
              <w:rPr>
                <w:rFonts w:ascii="宋体" w:eastAsia="宋体" w:hAnsi="宋体" w:cs="Calibri" w:hint="eastAsia"/>
                <w:color w:val="000000"/>
                <w:kern w:val="0"/>
                <w:sz w:val="19"/>
                <w:szCs w:val="19"/>
              </w:rPr>
              <w:t>（第一学历为全日制本科）</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公共卫生</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1312"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具有相应岗位执业资格，规培证；</w:t>
            </w:r>
          </w:p>
        </w:tc>
        <w:tc>
          <w:tcPr>
            <w:tcW w:w="2241"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基本工资按国家工资标准执行，绩效工资按医院经管方案执行，享受张家界市人才引进待遇：1.博士学位或正高级职称：购房补助30万元、安家费10万元、五年内每月生活补助2000元；2.硕士</w:t>
            </w:r>
            <w:r w:rsidRPr="00AA180C">
              <w:rPr>
                <w:rFonts w:ascii="宋体" w:eastAsia="宋体" w:hAnsi="宋体" w:cs="宋体" w:hint="eastAsia"/>
                <w:color w:val="000000"/>
                <w:kern w:val="0"/>
                <w:sz w:val="19"/>
                <w:szCs w:val="19"/>
              </w:rPr>
              <w:lastRenderedPageBreak/>
              <w:t>研究生：购房补助4万元、安家费3万元、五年内每月生活补助1000元。</w:t>
            </w:r>
          </w:p>
        </w:tc>
        <w:tc>
          <w:tcPr>
            <w:tcW w:w="2241" w:type="dxa"/>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lastRenderedPageBreak/>
              <w:t> </w:t>
            </w:r>
          </w:p>
        </w:tc>
      </w:tr>
      <w:tr w:rsidR="00AA180C" w:rsidRPr="00AA180C" w:rsidTr="00AA180C">
        <w:trPr>
          <w:trHeight w:val="501"/>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妇产科</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35岁及以下</w:t>
            </w:r>
          </w:p>
        </w:tc>
        <w:tc>
          <w:tcPr>
            <w:tcW w:w="152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博士研究生</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临床医学、妇产科学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医师及以上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890"/>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检验师</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1524"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288" w:lineRule="atLeast"/>
              <w:ind w:firstLineChars="0" w:firstLine="0"/>
              <w:jc w:val="center"/>
              <w:rPr>
                <w:rFonts w:ascii="Calibri" w:eastAsia="宋体" w:hAnsi="Calibri" w:cs="Calibri"/>
                <w:color w:val="000000"/>
                <w:kern w:val="0"/>
                <w:sz w:val="20"/>
                <w:szCs w:val="20"/>
              </w:rPr>
            </w:pPr>
            <w:r w:rsidRPr="00AA180C">
              <w:rPr>
                <w:rFonts w:ascii="Calibri" w:eastAsia="宋体" w:hAnsi="Calibri" w:cs="Calibri"/>
                <w:color w:val="000000"/>
                <w:kern w:val="0"/>
                <w:sz w:val="19"/>
                <w:szCs w:val="19"/>
              </w:rPr>
              <w:t>全日制硕士研究生或</w:t>
            </w:r>
            <w:r w:rsidRPr="00AA180C">
              <w:rPr>
                <w:rFonts w:ascii="Calibri" w:eastAsia="宋体" w:hAnsi="Calibri" w:cs="Calibri"/>
                <w:color w:val="000000"/>
                <w:kern w:val="0"/>
                <w:sz w:val="19"/>
                <w:szCs w:val="19"/>
              </w:rPr>
              <w:t>2017</w:t>
            </w:r>
            <w:r w:rsidRPr="00AA180C">
              <w:rPr>
                <w:rFonts w:ascii="Calibri" w:eastAsia="宋体" w:hAnsi="Calibri" w:cs="Calibri"/>
                <w:color w:val="000000"/>
                <w:kern w:val="0"/>
                <w:sz w:val="19"/>
                <w:szCs w:val="19"/>
              </w:rPr>
              <w:t>年以来通过全国硕士研究生招生统一考试的非全日制硕士研究生</w:t>
            </w:r>
            <w:r w:rsidRPr="00AA180C">
              <w:rPr>
                <w:rFonts w:ascii="宋体" w:eastAsia="宋体" w:hAnsi="宋体" w:cs="Calibri" w:hint="eastAsia"/>
                <w:color w:val="000000"/>
                <w:kern w:val="0"/>
                <w:sz w:val="19"/>
                <w:szCs w:val="19"/>
              </w:rPr>
              <w:t>（第一学历为全日制本科）</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lastRenderedPageBreak/>
              <w:t> </w:t>
            </w:r>
          </w:p>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免疫学、病原生物学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无</w:t>
            </w:r>
          </w:p>
        </w:tc>
        <w:tc>
          <w:tcPr>
            <w:tcW w:w="13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rPr>
                <w:rFonts w:ascii="宋体" w:eastAsia="宋体" w:hAnsi="宋体" w:cs="宋体"/>
                <w:color w:val="000000"/>
                <w:kern w:val="0"/>
                <w:sz w:val="22"/>
              </w:rPr>
            </w:pPr>
            <w:r w:rsidRPr="00AA180C">
              <w:rPr>
                <w:rFonts w:ascii="宋体" w:eastAsia="宋体" w:hAnsi="宋体" w:cs="宋体" w:hint="eastAsia"/>
                <w:color w:val="000000"/>
                <w:kern w:val="0"/>
                <w:sz w:val="19"/>
                <w:szCs w:val="19"/>
              </w:rPr>
              <w:t>第一学历要求临床检验专业</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638"/>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病理科技师</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30周岁及以下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病理学与病理生理学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无</w:t>
            </w:r>
          </w:p>
        </w:tc>
        <w:tc>
          <w:tcPr>
            <w:tcW w:w="1312" w:type="dxa"/>
            <w:vMerge w:val="restart"/>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 </w:t>
            </w:r>
          </w:p>
          <w:p w:rsidR="00AA180C" w:rsidRPr="00AA180C" w:rsidRDefault="00AA180C" w:rsidP="00AA180C">
            <w:pPr>
              <w:widowControl/>
              <w:spacing w:before="120" w:after="120" w:line="317" w:lineRule="atLeast"/>
              <w:ind w:firstLineChars="0" w:firstLine="0"/>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12" w:type="dxa"/>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638"/>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财务管理</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2</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30周岁及</w:t>
            </w:r>
            <w:r w:rsidRPr="00AA180C">
              <w:rPr>
                <w:rFonts w:ascii="宋体" w:eastAsia="宋体" w:hAnsi="宋体" w:cs="宋体" w:hint="eastAsia"/>
                <w:color w:val="000000"/>
                <w:kern w:val="0"/>
                <w:sz w:val="19"/>
                <w:szCs w:val="19"/>
              </w:rPr>
              <w:lastRenderedPageBreak/>
              <w:t>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财务管理，会计</w:t>
            </w:r>
            <w:r w:rsidRPr="00AA180C">
              <w:rPr>
                <w:rFonts w:ascii="宋体" w:eastAsia="宋体" w:hAnsi="宋体" w:cs="宋体" w:hint="eastAsia"/>
                <w:color w:val="000000"/>
                <w:kern w:val="0"/>
                <w:sz w:val="19"/>
                <w:szCs w:val="19"/>
              </w:rPr>
              <w:lastRenderedPageBreak/>
              <w:t>学，金融学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无</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638"/>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lastRenderedPageBreak/>
              <w:t>信息中心工程师</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计算机软件与理论、计算机应用技术</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无</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419"/>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hint="eastAsia"/>
                <w:color w:val="000000"/>
                <w:kern w:val="0"/>
                <w:sz w:val="22"/>
              </w:rPr>
            </w:pPr>
            <w:r w:rsidRPr="00AA180C">
              <w:rPr>
                <w:rFonts w:ascii="宋体" w:eastAsia="宋体" w:hAnsi="宋体" w:cs="宋体" w:hint="eastAsia"/>
                <w:color w:val="000000"/>
                <w:kern w:val="0"/>
                <w:sz w:val="19"/>
                <w:szCs w:val="19"/>
              </w:rPr>
              <w:t>护   理</w:t>
            </w:r>
          </w:p>
          <w:p w:rsidR="00AA180C" w:rsidRPr="00AA180C" w:rsidRDefault="00AA180C" w:rsidP="00AA180C">
            <w:pPr>
              <w:widowControl/>
              <w:spacing w:before="120" w:after="120" w:line="317" w:lineRule="atLeast"/>
              <w:ind w:right="439" w:firstLineChars="0" w:firstLine="0"/>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1</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30岁及以下</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护理学</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护士及以上</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337"/>
        </w:trPr>
        <w:tc>
          <w:tcPr>
            <w:tcW w:w="2170"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合  计</w:t>
            </w:r>
          </w:p>
        </w:tc>
        <w:tc>
          <w:tcPr>
            <w:tcW w:w="4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46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55</w:t>
            </w:r>
          </w:p>
        </w:tc>
        <w:tc>
          <w:tcPr>
            <w:tcW w:w="145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1524"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2107"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1359"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center"/>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13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0" w:type="auto"/>
            <w:vMerge/>
            <w:tcBorders>
              <w:top w:val="single" w:sz="6" w:space="0" w:color="000000"/>
              <w:left w:val="single" w:sz="6" w:space="0" w:color="000000"/>
              <w:right w:val="single" w:sz="6" w:space="0" w:color="000000"/>
            </w:tcBorders>
            <w:shd w:val="clear" w:color="auto" w:fill="F6F6F6"/>
            <w:vAlign w:val="center"/>
            <w:hideMark/>
          </w:tcPr>
          <w:p w:rsidR="00AA180C" w:rsidRPr="00AA180C" w:rsidRDefault="00AA180C" w:rsidP="00AA180C">
            <w:pPr>
              <w:widowControl/>
              <w:ind w:firstLineChars="0" w:firstLine="0"/>
              <w:jc w:val="left"/>
              <w:rPr>
                <w:rFonts w:ascii="宋体" w:eastAsia="宋体" w:hAnsi="宋体" w:cs="宋体"/>
                <w:color w:val="000000"/>
                <w:kern w:val="0"/>
                <w:sz w:val="22"/>
              </w:rPr>
            </w:pPr>
          </w:p>
        </w:tc>
        <w:tc>
          <w:tcPr>
            <w:tcW w:w="1312"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r w:rsidR="00AA180C" w:rsidRPr="00AA180C" w:rsidTr="00AA180C">
        <w:trPr>
          <w:trHeight w:val="923"/>
        </w:trPr>
        <w:tc>
          <w:tcPr>
            <w:tcW w:w="10803" w:type="dxa"/>
            <w:gridSpan w:val="8"/>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备注：1.医学类博士人才可实行随到随引。2.内科博士生年龄可放宽到45岁及以下，外科博士生年龄可放宽到40岁以下。3.临床医学类硕士及以上学历引进对象报名可选择服从调剂到相关引进岗位。4.中级职称可放宽到40周岁及以下，副高级以上职称可放宽到45周岁以下，可无规培证。</w:t>
            </w:r>
          </w:p>
        </w:tc>
        <w:tc>
          <w:tcPr>
            <w:tcW w:w="224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before="120" w:after="120" w:line="317" w:lineRule="atLeast"/>
              <w:ind w:firstLineChars="0" w:firstLine="0"/>
              <w:jc w:val="left"/>
              <w:rPr>
                <w:rFonts w:ascii="宋体" w:eastAsia="宋体" w:hAnsi="宋体" w:cs="宋体"/>
                <w:color w:val="000000"/>
                <w:kern w:val="0"/>
                <w:sz w:val="22"/>
              </w:rPr>
            </w:pPr>
            <w:r w:rsidRPr="00AA180C">
              <w:rPr>
                <w:rFonts w:ascii="宋体" w:eastAsia="宋体" w:hAnsi="宋体" w:cs="宋体" w:hint="eastAsia"/>
                <w:color w:val="000000"/>
                <w:kern w:val="0"/>
                <w:sz w:val="19"/>
                <w:szCs w:val="19"/>
              </w:rPr>
              <w:t> </w:t>
            </w:r>
          </w:p>
        </w:tc>
        <w:tc>
          <w:tcPr>
            <w:tcW w:w="2241" w:type="dxa"/>
            <w:tcBorders>
              <w:top w:val="single" w:sz="6" w:space="0" w:color="000000"/>
              <w:left w:val="single" w:sz="6" w:space="0" w:color="000000"/>
              <w:bottom w:val="single" w:sz="6" w:space="0" w:color="000000"/>
              <w:right w:val="single" w:sz="6" w:space="0" w:color="000000"/>
            </w:tcBorders>
            <w:shd w:val="clear" w:color="auto" w:fill="F6F6F6"/>
            <w:vAlign w:val="center"/>
            <w:hideMark/>
          </w:tcPr>
          <w:p w:rsidR="00AA180C" w:rsidRPr="00AA180C" w:rsidRDefault="00AA180C" w:rsidP="00AA180C">
            <w:pPr>
              <w:widowControl/>
              <w:spacing w:line="230" w:lineRule="atLeast"/>
              <w:ind w:firstLineChars="0" w:firstLine="0"/>
              <w:jc w:val="left"/>
              <w:rPr>
                <w:rFonts w:ascii="宋体" w:eastAsia="宋体" w:hAnsi="宋体" w:cs="宋体"/>
                <w:color w:val="000000"/>
                <w:kern w:val="0"/>
                <w:sz w:val="14"/>
                <w:szCs w:val="14"/>
              </w:rPr>
            </w:pPr>
            <w:r w:rsidRPr="00AA180C">
              <w:rPr>
                <w:rFonts w:ascii="宋体" w:eastAsia="宋体" w:hAnsi="宋体" w:cs="宋体" w:hint="eastAsia"/>
                <w:color w:val="000000"/>
                <w:kern w:val="0"/>
                <w:sz w:val="14"/>
                <w:szCs w:val="14"/>
              </w:rPr>
              <w:t> </w:t>
            </w:r>
          </w:p>
        </w:tc>
      </w:tr>
    </w:tbl>
    <w:p w:rsidR="00AA180C" w:rsidRPr="00AA180C" w:rsidRDefault="00AA180C" w:rsidP="00AA180C">
      <w:pPr>
        <w:widowControl/>
        <w:shd w:val="clear" w:color="auto" w:fill="F6F6F6"/>
        <w:spacing w:before="120" w:after="120" w:line="259" w:lineRule="atLeast"/>
        <w:ind w:firstLineChars="0" w:firstLine="280"/>
        <w:jc w:val="left"/>
        <w:rPr>
          <w:rFonts w:ascii="宋体" w:eastAsia="宋体" w:hAnsi="宋体" w:cs="宋体" w:hint="eastAsia"/>
          <w:color w:val="000000"/>
          <w:kern w:val="0"/>
          <w:sz w:val="14"/>
          <w:szCs w:val="14"/>
        </w:rPr>
      </w:pPr>
      <w:r w:rsidRPr="00AA180C">
        <w:rPr>
          <w:rFonts w:ascii="宋体" w:eastAsia="宋体" w:hAnsi="宋体" w:cs="宋体" w:hint="eastAsia"/>
          <w:color w:val="000000"/>
          <w:kern w:val="0"/>
          <w:sz w:val="14"/>
          <w:szCs w:val="14"/>
        </w:rPr>
        <w:t> </w:t>
      </w:r>
    </w:p>
    <w:p w:rsidR="007C7F1D" w:rsidRPr="00AA180C" w:rsidRDefault="007C7F1D" w:rsidP="00AA180C">
      <w:pPr>
        <w:ind w:firstLine="420"/>
      </w:pPr>
    </w:p>
    <w:sectPr w:rsidR="007C7F1D" w:rsidRPr="00AA180C"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9FC"/>
    <w:rsid w:val="00022114"/>
    <w:rsid w:val="000645EE"/>
    <w:rsid w:val="00284565"/>
    <w:rsid w:val="002A7F7A"/>
    <w:rsid w:val="00366E4D"/>
    <w:rsid w:val="007A0D36"/>
    <w:rsid w:val="007C7F1D"/>
    <w:rsid w:val="0084679B"/>
    <w:rsid w:val="00AA180C"/>
    <w:rsid w:val="00D749FC"/>
    <w:rsid w:val="00DF7BBE"/>
    <w:rsid w:val="00EB4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FC"/>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366E4D"/>
    <w:rPr>
      <w:b/>
      <w:bCs/>
    </w:rPr>
  </w:style>
</w:styles>
</file>

<file path=word/webSettings.xml><?xml version="1.0" encoding="utf-8"?>
<w:webSettings xmlns:r="http://schemas.openxmlformats.org/officeDocument/2006/relationships" xmlns:w="http://schemas.openxmlformats.org/wordprocessingml/2006/main">
  <w:divs>
    <w:div w:id="13073041">
      <w:bodyDiv w:val="1"/>
      <w:marLeft w:val="0"/>
      <w:marRight w:val="0"/>
      <w:marTop w:val="0"/>
      <w:marBottom w:val="0"/>
      <w:divBdr>
        <w:top w:val="none" w:sz="0" w:space="0" w:color="auto"/>
        <w:left w:val="none" w:sz="0" w:space="0" w:color="auto"/>
        <w:bottom w:val="none" w:sz="0" w:space="0" w:color="auto"/>
        <w:right w:val="none" w:sz="0" w:space="0" w:color="auto"/>
      </w:divBdr>
    </w:div>
    <w:div w:id="62141991">
      <w:bodyDiv w:val="1"/>
      <w:marLeft w:val="0"/>
      <w:marRight w:val="0"/>
      <w:marTop w:val="0"/>
      <w:marBottom w:val="0"/>
      <w:divBdr>
        <w:top w:val="none" w:sz="0" w:space="0" w:color="auto"/>
        <w:left w:val="none" w:sz="0" w:space="0" w:color="auto"/>
        <w:bottom w:val="none" w:sz="0" w:space="0" w:color="auto"/>
        <w:right w:val="none" w:sz="0" w:space="0" w:color="auto"/>
      </w:divBdr>
    </w:div>
    <w:div w:id="71658393">
      <w:bodyDiv w:val="1"/>
      <w:marLeft w:val="0"/>
      <w:marRight w:val="0"/>
      <w:marTop w:val="0"/>
      <w:marBottom w:val="0"/>
      <w:divBdr>
        <w:top w:val="none" w:sz="0" w:space="0" w:color="auto"/>
        <w:left w:val="none" w:sz="0" w:space="0" w:color="auto"/>
        <w:bottom w:val="none" w:sz="0" w:space="0" w:color="auto"/>
        <w:right w:val="none" w:sz="0" w:space="0" w:color="auto"/>
      </w:divBdr>
    </w:div>
    <w:div w:id="379135240">
      <w:bodyDiv w:val="1"/>
      <w:marLeft w:val="0"/>
      <w:marRight w:val="0"/>
      <w:marTop w:val="0"/>
      <w:marBottom w:val="0"/>
      <w:divBdr>
        <w:top w:val="none" w:sz="0" w:space="0" w:color="auto"/>
        <w:left w:val="none" w:sz="0" w:space="0" w:color="auto"/>
        <w:bottom w:val="none" w:sz="0" w:space="0" w:color="auto"/>
        <w:right w:val="none" w:sz="0" w:space="0" w:color="auto"/>
      </w:divBdr>
    </w:div>
    <w:div w:id="910889502">
      <w:bodyDiv w:val="1"/>
      <w:marLeft w:val="0"/>
      <w:marRight w:val="0"/>
      <w:marTop w:val="0"/>
      <w:marBottom w:val="0"/>
      <w:divBdr>
        <w:top w:val="none" w:sz="0" w:space="0" w:color="auto"/>
        <w:left w:val="none" w:sz="0" w:space="0" w:color="auto"/>
        <w:bottom w:val="none" w:sz="0" w:space="0" w:color="auto"/>
        <w:right w:val="none" w:sz="0" w:space="0" w:color="auto"/>
      </w:divBdr>
    </w:div>
    <w:div w:id="1064909739">
      <w:bodyDiv w:val="1"/>
      <w:marLeft w:val="0"/>
      <w:marRight w:val="0"/>
      <w:marTop w:val="0"/>
      <w:marBottom w:val="0"/>
      <w:divBdr>
        <w:top w:val="none" w:sz="0" w:space="0" w:color="auto"/>
        <w:left w:val="none" w:sz="0" w:space="0" w:color="auto"/>
        <w:bottom w:val="none" w:sz="0" w:space="0" w:color="auto"/>
        <w:right w:val="none" w:sz="0" w:space="0" w:color="auto"/>
      </w:divBdr>
    </w:div>
    <w:div w:id="14253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2020-06-08T06:03:00Z</dcterms:created>
  <dcterms:modified xsi:type="dcterms:W3CDTF">2020-06-08T07:07:00Z</dcterms:modified>
</cp:coreProperties>
</file>