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Pr="00F73643" w:rsidRDefault="00F73643" w:rsidP="00F73643">
      <w:pPr>
        <w:ind w:firstLine="380"/>
        <w:jc w:val="center"/>
        <w:rPr>
          <w:rFonts w:ascii="微软雅黑" w:eastAsia="微软雅黑" w:hAnsi="微软雅黑" w:cs="宋体" w:hint="eastAsia"/>
          <w:b/>
          <w:color w:val="333333"/>
          <w:kern w:val="0"/>
          <w:sz w:val="19"/>
          <w:szCs w:val="19"/>
        </w:rPr>
      </w:pPr>
      <w:r w:rsidRPr="00F73643">
        <w:rPr>
          <w:rFonts w:ascii="微软雅黑" w:eastAsia="微软雅黑" w:hAnsi="微软雅黑" w:cs="宋体" w:hint="eastAsia"/>
          <w:b/>
          <w:color w:val="333333"/>
          <w:kern w:val="0"/>
          <w:sz w:val="19"/>
          <w:szCs w:val="19"/>
        </w:rPr>
        <w:t>招聘教师岗位、行政岗位、人数、专业、学历及备注（共12人）</w:t>
      </w:r>
    </w:p>
    <w:tbl>
      <w:tblPr>
        <w:tblStyle w:val="a"/>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3"/>
        <w:gridCol w:w="1075"/>
        <w:gridCol w:w="1075"/>
        <w:gridCol w:w="1079"/>
        <w:gridCol w:w="1077"/>
        <w:gridCol w:w="2241"/>
      </w:tblGrid>
      <w:tr w:rsidR="00F73643" w:rsidRPr="00F73643" w:rsidTr="00495BB4">
        <w:trPr>
          <w:cantSplit/>
          <w:trHeight w:val="285"/>
          <w:jc w:val="center"/>
        </w:trPr>
        <w:tc>
          <w:tcPr>
            <w:tcW w:w="655"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b/>
                <w:bCs/>
                <w:color w:val="000000"/>
                <w:kern w:val="0"/>
                <w:sz w:val="24"/>
                <w:szCs w:val="24"/>
              </w:rPr>
              <w:t>序号</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b/>
                <w:bCs/>
                <w:color w:val="000000"/>
                <w:kern w:val="0"/>
                <w:sz w:val="24"/>
                <w:szCs w:val="24"/>
              </w:rPr>
              <w:t>岗位名称</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b/>
                <w:bCs/>
                <w:color w:val="000000"/>
                <w:kern w:val="0"/>
                <w:sz w:val="24"/>
                <w:szCs w:val="24"/>
              </w:rPr>
              <w:t>招聘人数</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b/>
                <w:bCs/>
                <w:color w:val="000000"/>
                <w:kern w:val="0"/>
                <w:sz w:val="24"/>
                <w:szCs w:val="24"/>
              </w:rPr>
              <w:t>专业</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b/>
                <w:bCs/>
                <w:color w:val="000000"/>
                <w:kern w:val="0"/>
                <w:sz w:val="24"/>
                <w:szCs w:val="24"/>
              </w:rPr>
              <w:t>学历</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b/>
                <w:bCs/>
                <w:color w:val="000000"/>
                <w:kern w:val="0"/>
                <w:sz w:val="24"/>
                <w:szCs w:val="24"/>
              </w:rPr>
              <w:t>备注</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英语专业教师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英语相关专业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研究生（硕士学位）及以上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1、年龄35周岁以下。</w:t>
            </w:r>
          </w:p>
        </w:tc>
      </w:tr>
      <w:tr w:rsidR="00F73643" w:rsidRPr="00F73643" w:rsidTr="00495BB4">
        <w:trPr>
          <w:cantSplit/>
          <w:trHeight w:val="76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2、具有教师资格证。</w:t>
            </w:r>
          </w:p>
        </w:tc>
      </w:tr>
      <w:tr w:rsidR="00F73643" w:rsidRPr="00F73643" w:rsidTr="00495BB4">
        <w:trPr>
          <w:cantSplit/>
          <w:trHeight w:val="52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3、师范院校毕业。</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体育专业教师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体育专业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大学本科（学士学位）及以上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1、年龄35周岁及以下。</w:t>
            </w:r>
          </w:p>
        </w:tc>
      </w:tr>
      <w:tr w:rsidR="00F73643" w:rsidRPr="00F73643" w:rsidTr="00495BB4">
        <w:trPr>
          <w:cantSplit/>
          <w:trHeight w:val="229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2、应届毕业生具有本科及以上学历，具有体育类相关证书，具有教师资格证。</w:t>
            </w:r>
          </w:p>
        </w:tc>
      </w:tr>
      <w:tr w:rsidR="00F73643" w:rsidRPr="00F73643" w:rsidTr="00495BB4">
        <w:trPr>
          <w:cantSplit/>
          <w:trHeight w:val="103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3、师范院校，研究生毕业优先。</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语文专业教师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汉语言文学专业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研究生（硕士学位）及以上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1、年龄35周岁及以下。</w:t>
            </w:r>
          </w:p>
        </w:tc>
      </w:tr>
      <w:tr w:rsidR="00F73643" w:rsidRPr="00F73643" w:rsidTr="00495BB4">
        <w:trPr>
          <w:cantSplit/>
          <w:trHeight w:val="51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2、师范院校毕业。</w:t>
            </w:r>
          </w:p>
        </w:tc>
      </w:tr>
      <w:tr w:rsidR="00F73643" w:rsidRPr="00F73643" w:rsidTr="00495BB4">
        <w:trPr>
          <w:cantSplit/>
          <w:trHeight w:val="76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3、具有教师资格证。</w:t>
            </w:r>
          </w:p>
        </w:tc>
      </w:tr>
      <w:tr w:rsidR="00F73643" w:rsidRPr="00F73643" w:rsidTr="00495BB4">
        <w:trPr>
          <w:cantSplit/>
          <w:trHeight w:val="78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4、有教学实习、实践经历。</w:t>
            </w:r>
          </w:p>
        </w:tc>
      </w:tr>
      <w:tr w:rsidR="00F73643" w:rsidRPr="00F73643" w:rsidTr="00495BB4">
        <w:trPr>
          <w:cantSplit/>
          <w:trHeight w:val="229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食品专业教师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食品类相关专业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大学本科（学士学位）及以上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1、年龄35周岁及以下，身体健康，具有高度的工作责任心、良好的职业道德。</w:t>
            </w:r>
          </w:p>
        </w:tc>
      </w:tr>
      <w:tr w:rsidR="00F73643" w:rsidRPr="00F73643" w:rsidTr="00495BB4">
        <w:trPr>
          <w:cantSplit/>
          <w:trHeight w:val="229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2、具有食品检验工三级及以上相关职业资格证书，或中级以上技术职称优先。</w:t>
            </w:r>
          </w:p>
        </w:tc>
      </w:tr>
      <w:tr w:rsidR="00F73643" w:rsidRPr="00F73643" w:rsidTr="00495BB4">
        <w:trPr>
          <w:cantSplit/>
          <w:trHeight w:val="127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3、普通话标准应达到二级乙等及以上。</w:t>
            </w:r>
          </w:p>
        </w:tc>
      </w:tr>
      <w:tr w:rsidR="00F73643" w:rsidRPr="00F73643" w:rsidTr="00495BB4">
        <w:trPr>
          <w:cantSplit/>
          <w:trHeight w:val="562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4、有企业实际工作经验、应用型本科院校毕业优先,能熟练操作相关仪器设备（如气、液相色谱仪、原吸和荧光原吸等）、熟悉理化、微生物检验检测、食品安全体系管理者优先，专业英语熟练者优先。</w:t>
            </w:r>
          </w:p>
        </w:tc>
      </w:tr>
      <w:tr w:rsidR="00F73643" w:rsidRPr="00F73643" w:rsidTr="00495BB4">
        <w:trPr>
          <w:cantSplit/>
          <w:trHeight w:val="1530"/>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5</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轮机管理专业教师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轮机工程、轮机管理相关专业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大学本科（学士学位）及以上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1、年龄35周岁以下，特别优秀的年龄可适当放宽。</w:t>
            </w:r>
          </w:p>
        </w:tc>
      </w:tr>
      <w:tr w:rsidR="00F73643" w:rsidRPr="00F73643" w:rsidTr="00495BB4">
        <w:trPr>
          <w:cantSplit/>
          <w:trHeight w:val="178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2、具有不少于1年的轮机管理经历，并具有相关专业资质。</w:t>
            </w:r>
          </w:p>
        </w:tc>
      </w:tr>
      <w:tr w:rsidR="00F73643" w:rsidRPr="00F73643" w:rsidTr="00495BB4">
        <w:trPr>
          <w:cantSplit/>
          <w:trHeight w:val="204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3、扎实的专业基础理论知识、较好的学习新知识、新技能的能力。</w:t>
            </w:r>
          </w:p>
        </w:tc>
      </w:tr>
      <w:tr w:rsidR="00F73643" w:rsidRPr="00F73643" w:rsidTr="00495BB4">
        <w:trPr>
          <w:cantSplit/>
          <w:trHeight w:val="358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4、普通话标准应达到二级乙等及以上，具有中等职业学校及以上教师资格证者书优先、具有相关教学经验者优先考虑。</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6</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数学专业教师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数学</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研究生（硕士学位）及以上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1、年龄35周岁以下。</w:t>
            </w:r>
          </w:p>
        </w:tc>
      </w:tr>
      <w:tr w:rsidR="00F73643" w:rsidRPr="00F73643" w:rsidTr="00495BB4">
        <w:trPr>
          <w:cantSplit/>
          <w:trHeight w:val="127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2、具有中等职业学校及以上教师资格证。</w:t>
            </w:r>
          </w:p>
        </w:tc>
      </w:tr>
      <w:tr w:rsidR="00F73643" w:rsidRPr="00F73643" w:rsidTr="00495BB4">
        <w:trPr>
          <w:cantSplit/>
          <w:trHeight w:val="78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3、师范院校毕业优先。</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7</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德育教师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思政教育及相关专业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研究生（硕士学位）及以上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1、年龄35周岁以下。</w:t>
            </w:r>
          </w:p>
        </w:tc>
      </w:tr>
      <w:tr w:rsidR="00F73643" w:rsidRPr="00F73643" w:rsidTr="00495BB4">
        <w:trPr>
          <w:cantSplit/>
          <w:trHeight w:val="127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2、具有中等职业学校及以上教师资格证。</w:t>
            </w:r>
          </w:p>
        </w:tc>
      </w:tr>
      <w:tr w:rsidR="00F73643" w:rsidRPr="00F73643" w:rsidTr="00495BB4">
        <w:trPr>
          <w:cantSplit/>
          <w:trHeight w:val="51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3、中共党员优先。</w:t>
            </w:r>
          </w:p>
        </w:tc>
      </w:tr>
      <w:tr w:rsidR="00F73643" w:rsidRPr="00F73643" w:rsidTr="00495BB4">
        <w:trPr>
          <w:cantSplit/>
          <w:trHeight w:val="78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4、师范院校毕业优先。</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8</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制冷与空调技</w:t>
            </w:r>
            <w:r w:rsidRPr="00F73643">
              <w:rPr>
                <w:rFonts w:ascii="宋体" w:eastAsia="宋体" w:hAnsi="宋体" w:cs="宋体" w:hint="eastAsia"/>
                <w:color w:val="000000"/>
                <w:kern w:val="0"/>
                <w:sz w:val="24"/>
                <w:szCs w:val="24"/>
              </w:rPr>
              <w:lastRenderedPageBreak/>
              <w:t>术专业教师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lastRenderedPageBreak/>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制冷低温技术、</w:t>
            </w:r>
            <w:r w:rsidRPr="00F73643">
              <w:rPr>
                <w:rFonts w:ascii="宋体" w:eastAsia="宋体" w:hAnsi="宋体" w:cs="宋体" w:hint="eastAsia"/>
                <w:color w:val="000000"/>
                <w:kern w:val="0"/>
                <w:sz w:val="24"/>
                <w:szCs w:val="24"/>
              </w:rPr>
              <w:lastRenderedPageBreak/>
              <w:t>热能动力（制冷方向）、供热通风与空调工程技术专业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lastRenderedPageBreak/>
              <w:t>大学本科（学士</w:t>
            </w:r>
            <w:r w:rsidRPr="00F73643">
              <w:rPr>
                <w:rFonts w:ascii="宋体" w:eastAsia="宋体" w:hAnsi="宋体" w:cs="宋体" w:hint="eastAsia"/>
                <w:color w:val="000000"/>
                <w:kern w:val="0"/>
                <w:sz w:val="24"/>
                <w:szCs w:val="24"/>
              </w:rPr>
              <w:lastRenderedPageBreak/>
              <w:t>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lastRenderedPageBreak/>
              <w:t>1、年龄35周岁以下。</w:t>
            </w:r>
          </w:p>
        </w:tc>
      </w:tr>
      <w:tr w:rsidR="00F73643" w:rsidRPr="00F73643" w:rsidTr="00495BB4">
        <w:trPr>
          <w:cantSplit/>
          <w:trHeight w:val="229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2、具有招聘岗位对应的四级及以上的职业资格证书或中级以上技术职称优先；</w:t>
            </w:r>
          </w:p>
        </w:tc>
      </w:tr>
      <w:tr w:rsidR="00F73643" w:rsidRPr="00F73643" w:rsidTr="00495BB4">
        <w:trPr>
          <w:cantSplit/>
          <w:trHeight w:val="102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3、有企业实际工作经验者优先；</w:t>
            </w:r>
          </w:p>
        </w:tc>
      </w:tr>
    </w:tbl>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5"/>
        <w:gridCol w:w="1075"/>
        <w:gridCol w:w="1075"/>
        <w:gridCol w:w="1077"/>
        <w:gridCol w:w="1077"/>
        <w:gridCol w:w="2241"/>
      </w:tblGrid>
      <w:tr w:rsidR="00F73643" w:rsidRPr="00F73643" w:rsidTr="00495BB4">
        <w:trPr>
          <w:cantSplit/>
          <w:trHeight w:val="256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4、普通话标准应达到二级乙等及以上，具有中等职业学校及以上教师资格证书优先。</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9</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机电</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机械、电气、机电一体化、自动化专业优先</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大学专科及以上学历</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1、年龄35周岁及以下。</w:t>
            </w:r>
          </w:p>
        </w:tc>
      </w:tr>
      <w:tr w:rsidR="00F73643" w:rsidRPr="00F73643" w:rsidTr="00495BB4">
        <w:trPr>
          <w:cantSplit/>
          <w:trHeight w:val="178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实验员</w:t>
            </w: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2、具有液压气动、PLC、光电一体化设备的专业维修保养知识；</w:t>
            </w:r>
          </w:p>
        </w:tc>
      </w:tr>
      <w:tr w:rsidR="00F73643" w:rsidRPr="00F73643" w:rsidTr="00495BB4">
        <w:trPr>
          <w:cantSplit/>
          <w:trHeight w:val="102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 xml:space="preserve">　</w:t>
            </w: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3、能够维护修理工业机器人设备；</w:t>
            </w:r>
          </w:p>
        </w:tc>
      </w:tr>
      <w:tr w:rsidR="00F73643" w:rsidRPr="00F73643" w:rsidTr="00495BB4">
        <w:trPr>
          <w:cantSplit/>
          <w:trHeight w:val="102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 xml:space="preserve">　</w:t>
            </w: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4、能够配合教师带领学生实训；</w:t>
            </w:r>
          </w:p>
        </w:tc>
      </w:tr>
      <w:tr w:rsidR="00F73643" w:rsidRPr="00F73643" w:rsidTr="00495BB4">
        <w:trPr>
          <w:cantSplit/>
          <w:trHeight w:val="205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 xml:space="preserve">　</w:t>
            </w: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5、具有维修电工（三级）及以上职业资格证书或者相关技术职称优先。</w:t>
            </w:r>
          </w:p>
        </w:tc>
      </w:tr>
      <w:tr w:rsidR="00F73643" w:rsidRPr="00F73643" w:rsidTr="00495BB4">
        <w:trPr>
          <w:cantSplit/>
          <w:trHeight w:val="178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lastRenderedPageBreak/>
              <w:t>10</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医生</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医学类专业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大学本科（学士学位）及以上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1、年龄35周岁及以下，特别优秀的年龄可放宽至40周岁以下。</w:t>
            </w:r>
          </w:p>
        </w:tc>
      </w:tr>
      <w:tr w:rsidR="00F73643" w:rsidRPr="00F73643" w:rsidTr="00495BB4">
        <w:trPr>
          <w:cantSplit/>
          <w:trHeight w:val="102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2、熟悉开展预防、保健、健康教育；</w:t>
            </w:r>
          </w:p>
        </w:tc>
      </w:tr>
      <w:tr w:rsidR="00F73643" w:rsidRPr="00F73643" w:rsidTr="00495BB4">
        <w:trPr>
          <w:cantSplit/>
          <w:trHeight w:val="229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3、熟悉开展流行病、传染病的预防宣传、配合有关部门做好校园传染病的监控；</w:t>
            </w:r>
          </w:p>
        </w:tc>
      </w:tr>
      <w:tr w:rsidR="00F73643" w:rsidRPr="00F73643" w:rsidTr="00495BB4">
        <w:trPr>
          <w:cantSplit/>
          <w:trHeight w:val="102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4、熟悉学生体质的建档跟踪管理；</w:t>
            </w:r>
          </w:p>
        </w:tc>
      </w:tr>
      <w:tr w:rsidR="00F73643" w:rsidRPr="00F73643" w:rsidTr="00495BB4">
        <w:trPr>
          <w:cantSplit/>
          <w:trHeight w:val="127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5、熟悉学校食品卫生安全监督等工作；</w:t>
            </w:r>
          </w:p>
        </w:tc>
      </w:tr>
      <w:tr w:rsidR="00F73643" w:rsidRPr="00F73643" w:rsidTr="00495BB4">
        <w:trPr>
          <w:cantSplit/>
          <w:trHeight w:val="178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6、熟悉教职工体检、妇幼保健、义务献血等相关工作等；</w:t>
            </w:r>
          </w:p>
        </w:tc>
      </w:tr>
      <w:tr w:rsidR="00F73643" w:rsidRPr="00F73643" w:rsidTr="00495BB4">
        <w:trPr>
          <w:cantSplit/>
          <w:trHeight w:val="306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7、熟悉学校食堂、小卖部、售货机、直饮水等食品卫生安全工作及相关场所的设施设备的维护管理工作；</w:t>
            </w:r>
          </w:p>
        </w:tc>
      </w:tr>
      <w:tr w:rsidR="00F73643" w:rsidRPr="00F73643" w:rsidTr="00495BB4">
        <w:trPr>
          <w:cantSplit/>
          <w:trHeight w:val="127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8、熟悉校园卫生环境、校服检测等管理工作；</w:t>
            </w:r>
          </w:p>
        </w:tc>
      </w:tr>
      <w:tr w:rsidR="00F73643" w:rsidRPr="00F73643" w:rsidTr="00495BB4">
        <w:trPr>
          <w:cantSplit/>
          <w:trHeight w:val="180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9、具有医生相关工作经历，具有全科医生执业资格证书。</w:t>
            </w:r>
          </w:p>
        </w:tc>
      </w:tr>
      <w:tr w:rsidR="00F73643" w:rsidRPr="00F73643" w:rsidTr="00495BB4">
        <w:trPr>
          <w:cantSplit/>
          <w:trHeight w:val="765"/>
          <w:jc w:val="center"/>
        </w:trPr>
        <w:tc>
          <w:tcPr>
            <w:tcW w:w="655"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网络技术管理员</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计算机及网络相关专业</w:t>
            </w:r>
          </w:p>
        </w:tc>
        <w:tc>
          <w:tcPr>
            <w:tcW w:w="1080" w:type="dxa"/>
            <w:vMerge w:val="restart"/>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大专及以上</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1、年龄35周岁及以下；</w:t>
            </w:r>
          </w:p>
        </w:tc>
      </w:tr>
      <w:tr w:rsidR="00F73643" w:rsidRPr="00F73643" w:rsidTr="00495BB4">
        <w:trPr>
          <w:cantSplit/>
          <w:trHeight w:val="102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2、能进行网络设备及线路维护；</w:t>
            </w:r>
          </w:p>
        </w:tc>
      </w:tr>
      <w:tr w:rsidR="00F73643" w:rsidRPr="00F73643" w:rsidTr="00495BB4">
        <w:trPr>
          <w:cantSplit/>
          <w:trHeight w:val="1275"/>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3、能进行服务器及存储设备和计算机维护；</w:t>
            </w:r>
          </w:p>
        </w:tc>
      </w:tr>
      <w:tr w:rsidR="00F73643" w:rsidRPr="00F73643" w:rsidTr="00495BB4">
        <w:trPr>
          <w:cantSplit/>
          <w:trHeight w:val="1800"/>
          <w:jc w:val="center"/>
        </w:trPr>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0" w:type="auto"/>
            <w:vMerge/>
            <w:shd w:val="clear" w:color="auto" w:fill="auto"/>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4、会网络应用系统运维和计算机故障排除和多媒体设备的运维。</w:t>
            </w:r>
          </w:p>
        </w:tc>
      </w:tr>
      <w:tr w:rsidR="00F73643" w:rsidRPr="00F73643" w:rsidTr="00495BB4">
        <w:trPr>
          <w:cantSplit/>
          <w:trHeight w:val="285"/>
          <w:jc w:val="center"/>
        </w:trPr>
        <w:tc>
          <w:tcPr>
            <w:tcW w:w="1735" w:type="dxa"/>
            <w:gridSpan w:val="2"/>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合计</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12</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 xml:space="preserve">　</w:t>
            </w:r>
          </w:p>
        </w:tc>
        <w:tc>
          <w:tcPr>
            <w:tcW w:w="1080"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 xml:space="preserve">　</w:t>
            </w:r>
          </w:p>
        </w:tc>
        <w:tc>
          <w:tcPr>
            <w:tcW w:w="2252" w:type="dxa"/>
            <w:shd w:val="clear" w:color="auto" w:fill="auto"/>
            <w:tcMar>
              <w:top w:w="0" w:type="dxa"/>
              <w:left w:w="108" w:type="dxa"/>
              <w:bottom w:w="0" w:type="dxa"/>
              <w:right w:w="108" w:type="dxa"/>
            </w:tcMar>
            <w:vAlign w:val="center"/>
            <w:hideMark/>
          </w:tcPr>
          <w:p w:rsidR="00F73643" w:rsidRPr="00F73643" w:rsidRDefault="00F73643" w:rsidP="00495BB4">
            <w:pPr>
              <w:widowControl/>
              <w:ind w:firstLineChars="0" w:firstLine="0"/>
              <w:jc w:val="center"/>
              <w:rPr>
                <w:rFonts w:ascii="宋体" w:eastAsia="宋体" w:hAnsi="宋体" w:cs="宋体"/>
                <w:color w:val="333333"/>
                <w:kern w:val="0"/>
                <w:sz w:val="24"/>
                <w:szCs w:val="24"/>
              </w:rPr>
            </w:pPr>
            <w:r w:rsidRPr="00F73643">
              <w:rPr>
                <w:rFonts w:ascii="宋体" w:eastAsia="宋体" w:hAnsi="宋体" w:cs="宋体" w:hint="eastAsia"/>
                <w:color w:val="000000"/>
                <w:kern w:val="0"/>
                <w:sz w:val="24"/>
                <w:szCs w:val="24"/>
              </w:rPr>
              <w:t xml:space="preserve">　</w:t>
            </w:r>
          </w:p>
        </w:tc>
      </w:tr>
    </w:tbl>
    <w:p w:rsidR="00F73643" w:rsidRPr="00F73643" w:rsidRDefault="00F73643" w:rsidP="00F73643">
      <w:pPr>
        <w:ind w:firstLine="420"/>
      </w:pPr>
    </w:p>
    <w:sectPr w:rsidR="00F73643" w:rsidRPr="00F73643"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643"/>
    <w:rsid w:val="00156172"/>
    <w:rsid w:val="00747E6E"/>
    <w:rsid w:val="007A0D36"/>
    <w:rsid w:val="007C7F1D"/>
    <w:rsid w:val="00F73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16559">
      <w:bodyDiv w:val="1"/>
      <w:marLeft w:val="0"/>
      <w:marRight w:val="0"/>
      <w:marTop w:val="0"/>
      <w:marBottom w:val="0"/>
      <w:divBdr>
        <w:top w:val="none" w:sz="0" w:space="0" w:color="auto"/>
        <w:left w:val="none" w:sz="0" w:space="0" w:color="auto"/>
        <w:bottom w:val="none" w:sz="0" w:space="0" w:color="auto"/>
        <w:right w:val="none" w:sz="0" w:space="0" w:color="auto"/>
      </w:divBdr>
      <w:divsChild>
        <w:div w:id="633219665">
          <w:marLeft w:val="0"/>
          <w:marRight w:val="0"/>
          <w:marTop w:val="0"/>
          <w:marBottom w:val="0"/>
          <w:divBdr>
            <w:top w:val="none" w:sz="0" w:space="0" w:color="auto"/>
            <w:left w:val="none" w:sz="0" w:space="0" w:color="auto"/>
            <w:bottom w:val="none" w:sz="0" w:space="0" w:color="auto"/>
            <w:right w:val="none" w:sz="0" w:space="0" w:color="auto"/>
          </w:divBdr>
          <w:divsChild>
            <w:div w:id="505099852">
              <w:marLeft w:val="0"/>
              <w:marRight w:val="0"/>
              <w:marTop w:val="0"/>
              <w:marBottom w:val="0"/>
              <w:divBdr>
                <w:top w:val="none" w:sz="0" w:space="0" w:color="auto"/>
                <w:left w:val="none" w:sz="0" w:space="0" w:color="auto"/>
                <w:bottom w:val="none" w:sz="0" w:space="0" w:color="auto"/>
                <w:right w:val="none" w:sz="0" w:space="0" w:color="auto"/>
              </w:divBdr>
              <w:divsChild>
                <w:div w:id="209610757">
                  <w:marLeft w:val="-60"/>
                  <w:marRight w:val="-60"/>
                  <w:marTop w:val="0"/>
                  <w:marBottom w:val="0"/>
                  <w:divBdr>
                    <w:top w:val="none" w:sz="0" w:space="0" w:color="auto"/>
                    <w:left w:val="none" w:sz="0" w:space="0" w:color="auto"/>
                    <w:bottom w:val="none" w:sz="0" w:space="0" w:color="auto"/>
                    <w:right w:val="none" w:sz="0" w:space="0" w:color="auto"/>
                  </w:divBdr>
                  <w:divsChild>
                    <w:div w:id="1791246264">
                      <w:marLeft w:val="0"/>
                      <w:marRight w:val="0"/>
                      <w:marTop w:val="0"/>
                      <w:marBottom w:val="0"/>
                      <w:divBdr>
                        <w:top w:val="none" w:sz="0" w:space="0" w:color="auto"/>
                        <w:left w:val="none" w:sz="0" w:space="0" w:color="auto"/>
                        <w:bottom w:val="none" w:sz="0" w:space="0" w:color="auto"/>
                        <w:right w:val="none" w:sz="0" w:space="0" w:color="auto"/>
                      </w:divBdr>
                      <w:divsChild>
                        <w:div w:id="1444420803">
                          <w:marLeft w:val="0"/>
                          <w:marRight w:val="0"/>
                          <w:marTop w:val="0"/>
                          <w:marBottom w:val="0"/>
                          <w:divBdr>
                            <w:top w:val="single" w:sz="4" w:space="18" w:color="EEEEEE"/>
                            <w:left w:val="none" w:sz="0" w:space="0" w:color="auto"/>
                            <w:bottom w:val="none" w:sz="0" w:space="0" w:color="auto"/>
                            <w:right w:val="none" w:sz="0" w:space="0" w:color="auto"/>
                          </w:divBdr>
                          <w:divsChild>
                            <w:div w:id="13131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73696">
      <w:bodyDiv w:val="1"/>
      <w:marLeft w:val="0"/>
      <w:marRight w:val="0"/>
      <w:marTop w:val="0"/>
      <w:marBottom w:val="0"/>
      <w:divBdr>
        <w:top w:val="none" w:sz="0" w:space="0" w:color="auto"/>
        <w:left w:val="none" w:sz="0" w:space="0" w:color="auto"/>
        <w:bottom w:val="none" w:sz="0" w:space="0" w:color="auto"/>
        <w:right w:val="none" w:sz="0" w:space="0" w:color="auto"/>
      </w:divBdr>
      <w:divsChild>
        <w:div w:id="134491634">
          <w:marLeft w:val="0"/>
          <w:marRight w:val="0"/>
          <w:marTop w:val="0"/>
          <w:marBottom w:val="0"/>
          <w:divBdr>
            <w:top w:val="none" w:sz="0" w:space="0" w:color="auto"/>
            <w:left w:val="none" w:sz="0" w:space="0" w:color="auto"/>
            <w:bottom w:val="none" w:sz="0" w:space="0" w:color="auto"/>
            <w:right w:val="none" w:sz="0" w:space="0" w:color="auto"/>
          </w:divBdr>
          <w:divsChild>
            <w:div w:id="1644040447">
              <w:marLeft w:val="0"/>
              <w:marRight w:val="0"/>
              <w:marTop w:val="0"/>
              <w:marBottom w:val="0"/>
              <w:divBdr>
                <w:top w:val="none" w:sz="0" w:space="0" w:color="auto"/>
                <w:left w:val="none" w:sz="0" w:space="0" w:color="auto"/>
                <w:bottom w:val="none" w:sz="0" w:space="0" w:color="auto"/>
                <w:right w:val="none" w:sz="0" w:space="0" w:color="auto"/>
              </w:divBdr>
              <w:divsChild>
                <w:div w:id="1039820299">
                  <w:marLeft w:val="-60"/>
                  <w:marRight w:val="-60"/>
                  <w:marTop w:val="0"/>
                  <w:marBottom w:val="0"/>
                  <w:divBdr>
                    <w:top w:val="none" w:sz="0" w:space="0" w:color="auto"/>
                    <w:left w:val="none" w:sz="0" w:space="0" w:color="auto"/>
                    <w:bottom w:val="none" w:sz="0" w:space="0" w:color="auto"/>
                    <w:right w:val="none" w:sz="0" w:space="0" w:color="auto"/>
                  </w:divBdr>
                  <w:divsChild>
                    <w:div w:id="971323287">
                      <w:marLeft w:val="0"/>
                      <w:marRight w:val="0"/>
                      <w:marTop w:val="0"/>
                      <w:marBottom w:val="0"/>
                      <w:divBdr>
                        <w:top w:val="none" w:sz="0" w:space="0" w:color="auto"/>
                        <w:left w:val="none" w:sz="0" w:space="0" w:color="auto"/>
                        <w:bottom w:val="none" w:sz="0" w:space="0" w:color="auto"/>
                        <w:right w:val="none" w:sz="0" w:space="0" w:color="auto"/>
                      </w:divBdr>
                      <w:divsChild>
                        <w:div w:id="169108775">
                          <w:marLeft w:val="0"/>
                          <w:marRight w:val="0"/>
                          <w:marTop w:val="0"/>
                          <w:marBottom w:val="0"/>
                          <w:divBdr>
                            <w:top w:val="single" w:sz="4" w:space="18" w:color="EEEEEE"/>
                            <w:left w:val="none" w:sz="0" w:space="0" w:color="auto"/>
                            <w:bottom w:val="none" w:sz="0" w:space="0" w:color="auto"/>
                            <w:right w:val="none" w:sz="0" w:space="0" w:color="auto"/>
                          </w:divBdr>
                          <w:divsChild>
                            <w:div w:id="1844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24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2020-06-05T00:44:00Z</dcterms:created>
  <dcterms:modified xsi:type="dcterms:W3CDTF">2020-06-05T00:56:00Z</dcterms:modified>
</cp:coreProperties>
</file>