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6"/>
          <w:szCs w:val="32"/>
          <w:lang w:val="en-US" w:eastAsia="zh-CN"/>
        </w:rPr>
        <w:t>佛山市南海区慈善会</w:t>
      </w:r>
      <w:r>
        <w:rPr>
          <w:rFonts w:hint="eastAsia" w:ascii="方正小标宋简体" w:hAnsi="方正小标宋简体" w:eastAsia="方正小标宋简体"/>
          <w:color w:val="auto"/>
          <w:sz w:val="36"/>
          <w:szCs w:val="32"/>
        </w:rPr>
        <w:t>公开招聘工作人员职位表</w:t>
      </w:r>
    </w:p>
    <w:tbl>
      <w:tblPr>
        <w:tblStyle w:val="4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308"/>
        <w:gridCol w:w="1896"/>
        <w:gridCol w:w="828"/>
        <w:gridCol w:w="792"/>
        <w:gridCol w:w="1517"/>
        <w:gridCol w:w="1418"/>
        <w:gridCol w:w="1892"/>
        <w:gridCol w:w="159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1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佛山市南海区慈善会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综合部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从事善款跟进、文秘等工作。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哲学（A01、B01）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经济学（A02、B02）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法学（A03、B03）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文学（A05、B05）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管理学（A12、B12）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有较强的语言驾驭能力，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文字功底扎实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，熟练掌握各种文体写作。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本科约8.7万元；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研究生约9.5万元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从事慈善会自媒体运营、网站建设、募捐宣传等工作。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管理学（A12、B12）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新闻传播学（A0503、B0503）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有较强的文案写作能力和组织策划能力；掌握photoshop制图和照片拍摄技能；有新媒体运营经验优先。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本科约8.7万元；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研究生约9.5万元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说明：①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eastAsia="zh-CN"/>
        </w:rPr>
        <w:t>职位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年龄计算时间为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1985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日后出生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②学历学位须国家承认，国（境）外学历须提供学历认证；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版）。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0E31"/>
    <w:rsid w:val="4B380E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2020-05-29T08:41:00Z</dcterms:created>
  <dc:creator>郭婉霞</dc:creator>
  <cp:lastModifiedBy>郭婉霞</cp:lastModifiedBy>
  <dcterms:modified xsi:type="dcterms:W3CDTF">2020-05-29T08:42:05Z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