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578"/>
        <w:tblW w:w="146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365"/>
        <w:gridCol w:w="1161"/>
        <w:gridCol w:w="1260"/>
        <w:gridCol w:w="720"/>
        <w:gridCol w:w="1080"/>
        <w:gridCol w:w="1800"/>
        <w:gridCol w:w="2520"/>
        <w:gridCol w:w="1759"/>
        <w:gridCol w:w="723"/>
        <w:gridCol w:w="904"/>
        <w:gridCol w:w="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61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RANGE!A1:L8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龙门县行政服务中心招聘人员岗位设置情况表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岗位及代码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岗位描述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年龄要求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户籍要求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性别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其他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服务</w:t>
            </w:r>
            <w:r>
              <w:rPr>
                <w:rFonts w:hint="eastAsia" w:ascii="宋体" w:hAnsi="宋体" w:cs="宋体"/>
                <w:kern w:val="0"/>
                <w:sz w:val="24"/>
              </w:rPr>
              <w:t>窗口工作人员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龙门县行政服务中心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主要负责综合窗口业务办理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全日制本科以上学历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30岁以下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(含30周岁,即1990年4月30日后出生)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92B9F"/>
    <w:rsid w:val="3D69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2020-05-11T09:04:00Z</dcterms:created>
  <dc:creator>县行政服务中心</dc:creator>
  <cp:lastModifiedBy>县行政服务中心</cp:lastModifiedBy>
  <dcterms:modified xsi:type="dcterms:W3CDTF">2020-05-11T09:04:28Z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