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20" w:lineRule="exact"/>
        <w:rPr>
          <w:rFonts w:hint="eastAsia" w:ascii="方正黑体_GBK" w:hAnsi="Times New Roman" w:eastAsia="方正黑体_GBK"/>
          <w:kern w:val="0"/>
          <w:sz w:val="32"/>
          <w:szCs w:val="32"/>
          <w:lang w:val="en-US" w:eastAsia="zh-CN"/>
        </w:rPr>
      </w:pPr>
    </w:p>
    <w:p>
      <w:pPr>
        <w:rPr>
          <w:rFonts w:ascii="Times New Roman" w:hAnsi="Times New Roman" w:eastAsia="方正仿宋_GBK"/>
        </w:rPr>
      </w:pPr>
    </w:p>
    <w:p>
      <w:pPr>
        <w:widowControl/>
        <w:shd w:val="clear" w:color="auto" w:fill="FFFFFF"/>
        <w:spacing w:line="520" w:lineRule="exact"/>
        <w:ind w:right="64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盐城市人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力资源和社会保障局部分直属单位招聘政府购买用工人员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岗位表</w:t>
      </w:r>
    </w:p>
    <w:bookmarkEnd w:id="0"/>
    <w:p>
      <w:pPr>
        <w:rPr>
          <w:rFonts w:ascii="Times New Roman" w:hAnsi="Times New Roman" w:eastAsia="方正仿宋_GBK"/>
        </w:rPr>
      </w:pPr>
    </w:p>
    <w:tbl>
      <w:tblPr>
        <w:tblStyle w:val="3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537"/>
        <w:gridCol w:w="1210"/>
        <w:gridCol w:w="1261"/>
        <w:gridCol w:w="980"/>
        <w:gridCol w:w="1154"/>
        <w:gridCol w:w="1227"/>
        <w:gridCol w:w="6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Header/>
        </w:trPr>
        <w:tc>
          <w:tcPr>
            <w:tcW w:w="293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902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  <w:t>用人单位</w:t>
            </w:r>
          </w:p>
        </w:tc>
        <w:tc>
          <w:tcPr>
            <w:tcW w:w="710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招聘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计划数</w:t>
            </w:r>
          </w:p>
        </w:tc>
        <w:tc>
          <w:tcPr>
            <w:tcW w:w="740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开考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比例</w:t>
            </w:r>
          </w:p>
        </w:tc>
        <w:tc>
          <w:tcPr>
            <w:tcW w:w="2353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选调条件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tblHeader/>
        </w:trPr>
        <w:tc>
          <w:tcPr>
            <w:tcW w:w="293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902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710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677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20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380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93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</w:t>
            </w:r>
          </w:p>
        </w:tc>
        <w:tc>
          <w:tcPr>
            <w:tcW w:w="90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  <w:t>市人才市场管理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  <w:t>办公室</w:t>
            </w:r>
          </w:p>
        </w:tc>
        <w:tc>
          <w:tcPr>
            <w:tcW w:w="710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740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575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677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720" w:type="pct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年龄35周岁（1984年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30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日以后出生）以下。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293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</w:t>
            </w:r>
          </w:p>
        </w:tc>
        <w:tc>
          <w:tcPr>
            <w:tcW w:w="902" w:type="pct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  <w:t>市机关事业养老保险中心</w:t>
            </w:r>
          </w:p>
        </w:tc>
        <w:tc>
          <w:tcPr>
            <w:tcW w:w="710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740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57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677" w:type="pc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  <w:t>经济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类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  <w:t>和会计类各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1名</w:t>
            </w:r>
          </w:p>
        </w:tc>
        <w:tc>
          <w:tcPr>
            <w:tcW w:w="720" w:type="pct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年龄35周岁（1984年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30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日以后出生）以下。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theme="minorBidi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0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293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902" w:type="pct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  <w:t>市劳动人事争议仲裁院</w:t>
            </w:r>
          </w:p>
        </w:tc>
        <w:tc>
          <w:tcPr>
            <w:tcW w:w="710" w:type="pc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40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575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677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720" w:type="pct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1、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年龄35周岁（1984年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30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日以后出生）以下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val="en-US" w:eastAsia="zh-CN"/>
              </w:rPr>
              <w:t>2、具有计算机文字处理能力。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仿宋_GBK" w:cstheme="minorBidi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0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-</w:t>
    </w:r>
    <w:r>
      <w:rPr>
        <w:rFonts w:ascii="Times New Roman" w:hAnsi="Times New Roman"/>
        <w:sz w:val="24"/>
        <w:szCs w:val="24"/>
      </w:rPr>
      <w:t xml:space="preserve"> 5 -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7104D"/>
    <w:rsid w:val="60C7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2020-05-06T09:47:00Z</dcterms:created>
  <dc:creator>Miss刘</dc:creator>
  <cp:lastModifiedBy>Miss刘</cp:lastModifiedBy>
  <dcterms:modified xsi:type="dcterms:W3CDTF">2020-05-06T09:48:57Z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