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0" w:type="dxa"/>
        <w:jc w:val="center"/>
        <w:tblLayout w:type="fixed"/>
        <w:tblCellMar>
          <w:top w:w="15" w:type="dxa"/>
          <w:left w:w="15" w:type="dxa"/>
          <w:bottom w:w="15" w:type="dxa"/>
          <w:right w:w="15" w:type="dxa"/>
        </w:tblCellMar>
        <w:tblLook w:val="04A0"/>
      </w:tblPr>
      <w:tblGrid>
        <w:gridCol w:w="606"/>
        <w:gridCol w:w="646"/>
        <w:gridCol w:w="890"/>
        <w:gridCol w:w="734"/>
        <w:gridCol w:w="675"/>
        <w:gridCol w:w="665"/>
        <w:gridCol w:w="724"/>
        <w:gridCol w:w="1057"/>
        <w:gridCol w:w="969"/>
        <w:gridCol w:w="5857"/>
        <w:gridCol w:w="1597"/>
      </w:tblGrid>
      <w:tr w:rsidR="00AA645C" w:rsidTr="002F3537">
        <w:trPr>
          <w:trHeight w:val="383"/>
          <w:jc w:val="center"/>
        </w:trPr>
        <w:tc>
          <w:tcPr>
            <w:tcW w:w="14420" w:type="dxa"/>
            <w:gridSpan w:val="11"/>
            <w:vAlign w:val="center"/>
          </w:tcPr>
          <w:p w:rsidR="00AA645C" w:rsidRDefault="00AA645C" w:rsidP="002F3537">
            <w:pPr>
              <w:spacing w:line="600" w:lineRule="exact"/>
              <w:jc w:val="left"/>
              <w:rPr>
                <w:rFonts w:ascii="仿宋_GB2312" w:eastAsia="黑体" w:hAnsi="仿宋_GB2312" w:cs="仿宋_GB2312"/>
                <w:bCs/>
                <w:kern w:val="0"/>
                <w:sz w:val="28"/>
                <w:szCs w:val="28"/>
              </w:rPr>
            </w:pPr>
            <w:r>
              <w:rPr>
                <w:rFonts w:ascii="黑体" w:eastAsia="黑体" w:hAnsi="黑体" w:cs="黑体" w:hint="eastAsia"/>
                <w:bCs/>
                <w:kern w:val="0"/>
                <w:sz w:val="28"/>
                <w:szCs w:val="28"/>
              </w:rPr>
              <w:t>附件1</w:t>
            </w:r>
          </w:p>
          <w:p w:rsidR="00AA645C" w:rsidRDefault="00AA645C" w:rsidP="002F3537">
            <w:pPr>
              <w:widowControl/>
              <w:jc w:val="left"/>
              <w:textAlignment w:val="center"/>
              <w:rPr>
                <w:rFonts w:ascii="宋体" w:hAnsi="宋体" w:cs="宋体"/>
                <w:color w:val="000000"/>
                <w:sz w:val="18"/>
                <w:szCs w:val="18"/>
              </w:rPr>
            </w:pPr>
          </w:p>
        </w:tc>
      </w:tr>
      <w:tr w:rsidR="00AA645C" w:rsidTr="002F3537">
        <w:trPr>
          <w:trHeight w:val="638"/>
          <w:jc w:val="center"/>
        </w:trPr>
        <w:tc>
          <w:tcPr>
            <w:tcW w:w="14420" w:type="dxa"/>
            <w:gridSpan w:val="11"/>
            <w:vAlign w:val="center"/>
          </w:tcPr>
          <w:p w:rsidR="00AA645C" w:rsidRDefault="00AA645C" w:rsidP="002F3537">
            <w:pPr>
              <w:widowControl/>
              <w:jc w:val="center"/>
              <w:textAlignment w:val="center"/>
              <w:rPr>
                <w:rFonts w:ascii="宋体" w:hAnsi="宋体" w:cs="宋体"/>
                <w:b/>
                <w:color w:val="000000"/>
                <w:sz w:val="24"/>
              </w:rPr>
            </w:pPr>
            <w:r>
              <w:rPr>
                <w:rFonts w:ascii="黑体" w:eastAsia="黑体" w:hAnsi="黑体" w:cs="黑体" w:hint="eastAsia"/>
                <w:b/>
                <w:color w:val="000000"/>
                <w:kern w:val="0"/>
                <w:sz w:val="32"/>
                <w:szCs w:val="32"/>
              </w:rPr>
              <w:t>确山县投资集团有限公司公开招聘工作人员岗位表</w:t>
            </w:r>
          </w:p>
        </w:tc>
      </w:tr>
      <w:tr w:rsidR="00AA645C" w:rsidTr="002F3537">
        <w:trPr>
          <w:gridAfter w:val="1"/>
          <w:wAfter w:w="1597" w:type="dxa"/>
          <w:trHeight w:val="918"/>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招聘单位</w:t>
            </w:r>
          </w:p>
        </w:tc>
        <w:tc>
          <w:tcPr>
            <w:tcW w:w="646"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岗位代码</w:t>
            </w:r>
          </w:p>
        </w:tc>
        <w:tc>
          <w:tcPr>
            <w:tcW w:w="890"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招聘部门</w:t>
            </w:r>
          </w:p>
        </w:tc>
        <w:tc>
          <w:tcPr>
            <w:tcW w:w="734"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专业要求</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招聘人数</w:t>
            </w:r>
          </w:p>
        </w:tc>
        <w:tc>
          <w:tcPr>
            <w:tcW w:w="66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户籍要求</w:t>
            </w:r>
          </w:p>
        </w:tc>
        <w:tc>
          <w:tcPr>
            <w:tcW w:w="724"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性别要求</w:t>
            </w:r>
          </w:p>
        </w:tc>
        <w:tc>
          <w:tcPr>
            <w:tcW w:w="10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年龄要求</w:t>
            </w:r>
          </w:p>
        </w:tc>
        <w:tc>
          <w:tcPr>
            <w:tcW w:w="969"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学历要求</w:t>
            </w: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其他要求</w:t>
            </w:r>
          </w:p>
        </w:tc>
      </w:tr>
      <w:tr w:rsidR="00AA645C" w:rsidTr="002F3537">
        <w:trPr>
          <w:gridAfter w:val="1"/>
          <w:wAfter w:w="1597" w:type="dxa"/>
          <w:trHeight w:val="90"/>
          <w:jc w:val="center"/>
        </w:trPr>
        <w:tc>
          <w:tcPr>
            <w:tcW w:w="606"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确山县投资集团有限公司</w:t>
            </w:r>
          </w:p>
        </w:tc>
        <w:tc>
          <w:tcPr>
            <w:tcW w:w="646"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890" w:type="dxa"/>
            <w:tcBorders>
              <w:top w:val="single" w:sz="4" w:space="0" w:color="000000"/>
              <w:left w:val="single" w:sz="4" w:space="0" w:color="000000"/>
              <w:bottom w:val="single" w:sz="4" w:space="0" w:color="auto"/>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投融资部</w:t>
            </w:r>
          </w:p>
        </w:tc>
        <w:tc>
          <w:tcPr>
            <w:tcW w:w="734"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财会金融类</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2人</w:t>
            </w:r>
          </w:p>
        </w:tc>
        <w:tc>
          <w:tcPr>
            <w:tcW w:w="665"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户籍不限</w:t>
            </w:r>
          </w:p>
        </w:tc>
        <w:tc>
          <w:tcPr>
            <w:tcW w:w="724"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男女不限</w:t>
            </w:r>
          </w:p>
        </w:tc>
        <w:tc>
          <w:tcPr>
            <w:tcW w:w="1057"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年龄35周岁以下（2001年12月31日前出生，1984年12月31日后出生），有投、融资工作经验者可放宽到40岁以下（1979年12月31日之后出生）</w:t>
            </w:r>
          </w:p>
        </w:tc>
        <w:tc>
          <w:tcPr>
            <w:tcW w:w="969"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全日制普通高校本科及以上学历</w:t>
            </w: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1、按照国家法律法规以及相关产业政策，结合县委、县政府的决策部署，积极进行深入调研，了解项目的可行性及收益边际，为领导决策提供详实的可靠依据。</w:t>
            </w:r>
            <w:r>
              <w:rPr>
                <w:rFonts w:ascii="宋体" w:hAnsi="宋体" w:cs="宋体" w:hint="eastAsia"/>
                <w:color w:val="000000"/>
                <w:kern w:val="0"/>
                <w:sz w:val="18"/>
                <w:szCs w:val="18"/>
              </w:rPr>
              <w:br/>
              <w:t>2、按照县委、政府的决策及时科学投资，并加强对投资及项目的跟踪问效管理，反馈相关投资信息。</w:t>
            </w:r>
            <w:r>
              <w:rPr>
                <w:rFonts w:ascii="宋体" w:hAnsi="宋体" w:cs="宋体" w:hint="eastAsia"/>
                <w:color w:val="000000"/>
                <w:kern w:val="0"/>
                <w:sz w:val="18"/>
                <w:szCs w:val="18"/>
              </w:rPr>
              <w:br/>
              <w:t>3、负责有关项目的担保调查及跟踪管理工作。</w:t>
            </w:r>
            <w:r>
              <w:rPr>
                <w:rFonts w:ascii="宋体" w:hAnsi="宋体" w:cs="宋体" w:hint="eastAsia"/>
                <w:color w:val="000000"/>
                <w:kern w:val="0"/>
                <w:sz w:val="18"/>
                <w:szCs w:val="18"/>
              </w:rPr>
              <w:br/>
              <w:t xml:space="preserve">4、积极与金融机构、非金融机构和其它相关投资者对接、洽谈，提出可供决策的多种详实融资方案，为县委、县政府领导决策提供依据。 </w:t>
            </w:r>
          </w:p>
        </w:tc>
      </w:tr>
      <w:tr w:rsidR="00AA645C" w:rsidTr="002F3537">
        <w:trPr>
          <w:gridAfter w:val="1"/>
          <w:wAfter w:w="1597" w:type="dxa"/>
          <w:trHeight w:val="3042"/>
          <w:jc w:val="center"/>
        </w:trPr>
        <w:tc>
          <w:tcPr>
            <w:tcW w:w="606"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646" w:type="dxa"/>
            <w:tcBorders>
              <w:top w:val="single" w:sz="4" w:space="0" w:color="000000"/>
              <w:left w:val="single" w:sz="4" w:space="0" w:color="000000"/>
              <w:bottom w:val="single" w:sz="4" w:space="0" w:color="auto"/>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sz w:val="18"/>
                <w:szCs w:val="18"/>
              </w:rPr>
              <w:t>02</w:t>
            </w:r>
          </w:p>
        </w:tc>
        <w:tc>
          <w:tcPr>
            <w:tcW w:w="890" w:type="dxa"/>
            <w:tcBorders>
              <w:top w:val="single" w:sz="4" w:space="0" w:color="auto"/>
              <w:left w:val="single" w:sz="4" w:space="0" w:color="000000"/>
              <w:bottom w:val="single" w:sz="4" w:space="0" w:color="auto"/>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sz w:val="18"/>
                <w:szCs w:val="18"/>
              </w:rPr>
              <w:t>法律部</w:t>
            </w:r>
          </w:p>
        </w:tc>
        <w:tc>
          <w:tcPr>
            <w:tcW w:w="734" w:type="dxa"/>
            <w:tcBorders>
              <w:top w:val="single" w:sz="4" w:space="0" w:color="000000"/>
              <w:left w:val="single" w:sz="4" w:space="0" w:color="000000"/>
              <w:bottom w:val="single" w:sz="4" w:space="0" w:color="auto"/>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法律类</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1人</w:t>
            </w:r>
          </w:p>
        </w:tc>
        <w:tc>
          <w:tcPr>
            <w:tcW w:w="665"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724"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1057"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969"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1、协助集团公司领导正确贯彻执行国家法律、法规,对集团公司重大经营决策提出法律意见,依法维护公司合法权益。</w:t>
            </w:r>
            <w:r>
              <w:rPr>
                <w:rFonts w:ascii="宋体" w:hAnsi="宋体" w:cs="宋体" w:hint="eastAsia"/>
                <w:color w:val="000000"/>
                <w:kern w:val="0"/>
                <w:sz w:val="18"/>
                <w:szCs w:val="18"/>
              </w:rPr>
              <w:br/>
              <w:t>2、组织或参与起草、审核集团公司有关重要的规章制度,规范企业行为。</w:t>
            </w:r>
            <w:r>
              <w:rPr>
                <w:rFonts w:ascii="宋体" w:hAnsi="宋体" w:cs="宋体" w:hint="eastAsia"/>
                <w:color w:val="000000"/>
                <w:kern w:val="0"/>
                <w:sz w:val="18"/>
                <w:szCs w:val="18"/>
              </w:rPr>
              <w:br/>
              <w:t>3、负责投资资金进入法律诉讼程序等工作。</w:t>
            </w:r>
            <w:r>
              <w:rPr>
                <w:rFonts w:ascii="宋体" w:hAnsi="宋体" w:cs="宋体" w:hint="eastAsia"/>
                <w:color w:val="000000"/>
                <w:kern w:val="0"/>
                <w:sz w:val="18"/>
                <w:szCs w:val="18"/>
              </w:rPr>
              <w:br/>
              <w:t xml:space="preserve">4、负责搭建银企融资平台，做好集团资金的周转工作，做好法律咨询工作，审核公司各类合同，确保集团不违法、不违纪、不违规。 </w:t>
            </w:r>
          </w:p>
        </w:tc>
      </w:tr>
      <w:tr w:rsidR="00AA645C" w:rsidTr="002F3537">
        <w:trPr>
          <w:gridAfter w:val="1"/>
          <w:wAfter w:w="1597" w:type="dxa"/>
          <w:trHeight w:val="90"/>
          <w:jc w:val="center"/>
        </w:trPr>
        <w:tc>
          <w:tcPr>
            <w:tcW w:w="606" w:type="dxa"/>
            <w:vMerge w:val="restart"/>
            <w:tcBorders>
              <w:top w:val="single" w:sz="4" w:space="0" w:color="000000"/>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kern w:val="0"/>
                <w:sz w:val="18"/>
                <w:szCs w:val="18"/>
              </w:rPr>
              <w:lastRenderedPageBreak/>
              <w:t>确山县投资集团有限公司</w:t>
            </w:r>
          </w:p>
        </w:tc>
        <w:tc>
          <w:tcPr>
            <w:tcW w:w="646" w:type="dxa"/>
            <w:tcBorders>
              <w:top w:val="single" w:sz="4" w:space="0" w:color="auto"/>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w:t>
            </w:r>
          </w:p>
        </w:tc>
        <w:tc>
          <w:tcPr>
            <w:tcW w:w="890" w:type="dxa"/>
            <w:tcBorders>
              <w:top w:val="single" w:sz="4" w:space="0" w:color="auto"/>
              <w:left w:val="single" w:sz="4" w:space="0" w:color="000000"/>
              <w:bottom w:val="single" w:sz="4" w:space="0" w:color="auto"/>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sz w:val="18"/>
                <w:szCs w:val="18"/>
              </w:rPr>
              <w:t>工程及资产运营部</w:t>
            </w:r>
          </w:p>
        </w:tc>
        <w:tc>
          <w:tcPr>
            <w:tcW w:w="734" w:type="dxa"/>
            <w:tcBorders>
              <w:top w:val="single" w:sz="4" w:space="0" w:color="auto"/>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工程类</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2人</w:t>
            </w:r>
          </w:p>
        </w:tc>
        <w:tc>
          <w:tcPr>
            <w:tcW w:w="665" w:type="dxa"/>
            <w:vMerge w:val="restart"/>
            <w:tcBorders>
              <w:top w:val="single" w:sz="4" w:space="0" w:color="000000"/>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sz w:val="18"/>
                <w:szCs w:val="18"/>
              </w:rPr>
              <w:t>户籍不限</w:t>
            </w:r>
          </w:p>
        </w:tc>
        <w:tc>
          <w:tcPr>
            <w:tcW w:w="724" w:type="dxa"/>
            <w:vMerge w:val="restart"/>
            <w:tcBorders>
              <w:top w:val="single" w:sz="4" w:space="0" w:color="000000"/>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kern w:val="0"/>
                <w:sz w:val="18"/>
                <w:szCs w:val="18"/>
              </w:rPr>
              <w:t>男女不限</w:t>
            </w:r>
          </w:p>
        </w:tc>
        <w:tc>
          <w:tcPr>
            <w:tcW w:w="1057" w:type="dxa"/>
            <w:vMerge w:val="restart"/>
            <w:tcBorders>
              <w:top w:val="single" w:sz="4" w:space="0" w:color="000000"/>
              <w:left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年龄35周岁以下（2001年12月31日前出生，1984年12月31日后出生），有投、融资工作经验者可放宽到40岁以下（1979年12月31日之后出生）</w:t>
            </w:r>
          </w:p>
        </w:tc>
        <w:tc>
          <w:tcPr>
            <w:tcW w:w="969" w:type="dxa"/>
            <w:vMerge w:val="restart"/>
            <w:tcBorders>
              <w:top w:val="single" w:sz="4" w:space="0" w:color="000000"/>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kern w:val="0"/>
                <w:sz w:val="18"/>
                <w:szCs w:val="18"/>
              </w:rPr>
              <w:t>全日制普通高校本科及以上学历</w:t>
            </w: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1、严格按照国家基本建设程序和工程建设的相关标准开展项目建设及管理工作。</w:t>
            </w:r>
            <w:r>
              <w:rPr>
                <w:rFonts w:ascii="宋体" w:hAnsi="宋体" w:cs="宋体" w:hint="eastAsia"/>
                <w:color w:val="000000"/>
                <w:kern w:val="0"/>
                <w:sz w:val="18"/>
                <w:szCs w:val="18"/>
              </w:rPr>
              <w:br/>
              <w:t>2、负责及时掌握工程建设动态。</w:t>
            </w:r>
            <w:r>
              <w:rPr>
                <w:rFonts w:ascii="宋体" w:hAnsi="宋体" w:cs="宋体" w:hint="eastAsia"/>
                <w:color w:val="000000"/>
                <w:kern w:val="0"/>
                <w:sz w:val="18"/>
                <w:szCs w:val="18"/>
              </w:rPr>
              <w:br/>
              <w:t>3、负责公司建设项目招投标工作。</w:t>
            </w:r>
            <w:r>
              <w:rPr>
                <w:rFonts w:ascii="宋体" w:hAnsi="宋体" w:cs="宋体" w:hint="eastAsia"/>
                <w:color w:val="000000"/>
                <w:kern w:val="0"/>
                <w:sz w:val="18"/>
                <w:szCs w:val="18"/>
              </w:rPr>
              <w:br/>
              <w:t>4、负责公司项目预决算管理。</w:t>
            </w:r>
            <w:r>
              <w:rPr>
                <w:rFonts w:ascii="宋体" w:hAnsi="宋体" w:cs="宋体" w:hint="eastAsia"/>
                <w:color w:val="000000"/>
                <w:kern w:val="0"/>
                <w:sz w:val="18"/>
                <w:szCs w:val="18"/>
              </w:rPr>
              <w:br/>
              <w:t>5、组织公司建设项目竣工验收工作，协助有关部门开展项目审计工作，负责公司项目投资建设资料及原始凭证的收集、归案。</w:t>
            </w:r>
            <w:r>
              <w:rPr>
                <w:rFonts w:ascii="宋体" w:hAnsi="宋体" w:cs="宋体" w:hint="eastAsia"/>
                <w:color w:val="000000"/>
                <w:kern w:val="0"/>
                <w:sz w:val="18"/>
                <w:szCs w:val="18"/>
              </w:rPr>
              <w:br/>
              <w:t xml:space="preserve">6、完成领导交办的其他工作。 </w:t>
            </w:r>
          </w:p>
        </w:tc>
      </w:tr>
      <w:tr w:rsidR="00AA645C" w:rsidTr="002F3537">
        <w:trPr>
          <w:gridAfter w:val="1"/>
          <w:wAfter w:w="1597" w:type="dxa"/>
          <w:trHeight w:val="1969"/>
          <w:jc w:val="center"/>
        </w:trPr>
        <w:tc>
          <w:tcPr>
            <w:tcW w:w="606" w:type="dxa"/>
            <w:vMerge/>
            <w:tcBorders>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890" w:type="dxa"/>
            <w:tcBorders>
              <w:top w:val="single" w:sz="4" w:space="0" w:color="auto"/>
              <w:left w:val="single" w:sz="4" w:space="0" w:color="000000"/>
              <w:bottom w:val="single" w:sz="4" w:space="0" w:color="auto"/>
              <w:right w:val="single" w:sz="4" w:space="0" w:color="000000"/>
            </w:tcBorders>
            <w:vAlign w:val="center"/>
          </w:tcPr>
          <w:p w:rsidR="00AA645C" w:rsidRDefault="00AA645C" w:rsidP="002F3537">
            <w:pPr>
              <w:jc w:val="center"/>
              <w:rPr>
                <w:rFonts w:ascii="宋体" w:hAnsi="宋体" w:cs="宋体"/>
                <w:color w:val="000000"/>
                <w:sz w:val="18"/>
                <w:szCs w:val="18"/>
              </w:rPr>
            </w:pPr>
            <w:r>
              <w:rPr>
                <w:rFonts w:ascii="宋体" w:hAnsi="宋体" w:cs="宋体" w:hint="eastAsia"/>
                <w:color w:val="000000"/>
                <w:sz w:val="18"/>
                <w:szCs w:val="18"/>
              </w:rPr>
              <w:t>综合部</w:t>
            </w:r>
          </w:p>
        </w:tc>
        <w:tc>
          <w:tcPr>
            <w:tcW w:w="734"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文秘类</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1人</w:t>
            </w:r>
          </w:p>
        </w:tc>
        <w:tc>
          <w:tcPr>
            <w:tcW w:w="665" w:type="dxa"/>
            <w:vMerge/>
            <w:tcBorders>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724" w:type="dxa"/>
            <w:vMerge/>
            <w:tcBorders>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1057" w:type="dxa"/>
            <w:vMerge/>
            <w:tcBorders>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969" w:type="dxa"/>
            <w:vMerge/>
            <w:tcBorders>
              <w:left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1、协助公司领导组织和协调各部门工作，处理公司日常事务，保证公司内外联系渠道畅通，使公司领导随时掌握公司内外动态。</w:t>
            </w:r>
            <w:r>
              <w:rPr>
                <w:rFonts w:ascii="宋体" w:hAnsi="宋体" w:cs="宋体" w:hint="eastAsia"/>
                <w:color w:val="000000"/>
                <w:kern w:val="0"/>
                <w:sz w:val="18"/>
                <w:szCs w:val="18"/>
              </w:rPr>
              <w:br/>
              <w:t>2、负责公司领导交办的各种文稿起草工作。</w:t>
            </w:r>
            <w:r>
              <w:rPr>
                <w:rFonts w:ascii="宋体" w:hAnsi="宋体" w:cs="宋体" w:hint="eastAsia"/>
                <w:color w:val="000000"/>
                <w:kern w:val="0"/>
                <w:sz w:val="18"/>
                <w:szCs w:val="18"/>
              </w:rPr>
              <w:br/>
              <w:t>3、负责制定内部各项规章制度并监督实施，保证公司良好工作和办公秩序。</w:t>
            </w:r>
            <w:r>
              <w:rPr>
                <w:rFonts w:ascii="宋体" w:hAnsi="宋体" w:cs="宋体" w:hint="eastAsia"/>
                <w:color w:val="000000"/>
                <w:kern w:val="0"/>
                <w:sz w:val="18"/>
                <w:szCs w:val="18"/>
              </w:rPr>
              <w:br/>
              <w:t xml:space="preserve">4、负责公司行政、人事、档案、劳动和后勤保障工作。 </w:t>
            </w:r>
          </w:p>
        </w:tc>
      </w:tr>
      <w:tr w:rsidR="00AA645C" w:rsidTr="002F3537">
        <w:trPr>
          <w:gridAfter w:val="1"/>
          <w:wAfter w:w="1597" w:type="dxa"/>
          <w:trHeight w:val="3153"/>
          <w:jc w:val="center"/>
        </w:trPr>
        <w:tc>
          <w:tcPr>
            <w:tcW w:w="606"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w:t>
            </w:r>
          </w:p>
        </w:tc>
        <w:tc>
          <w:tcPr>
            <w:tcW w:w="890" w:type="dxa"/>
            <w:tcBorders>
              <w:top w:val="single" w:sz="4" w:space="0" w:color="auto"/>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财务部</w:t>
            </w:r>
          </w:p>
        </w:tc>
        <w:tc>
          <w:tcPr>
            <w:tcW w:w="734"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sz w:val="18"/>
                <w:szCs w:val="18"/>
              </w:rPr>
              <w:t xml:space="preserve">会计或 </w:t>
            </w:r>
          </w:p>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sz w:val="18"/>
                <w:szCs w:val="18"/>
              </w:rPr>
              <w:t>财务管理</w:t>
            </w:r>
          </w:p>
        </w:tc>
        <w:tc>
          <w:tcPr>
            <w:tcW w:w="675"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2人</w:t>
            </w:r>
          </w:p>
        </w:tc>
        <w:tc>
          <w:tcPr>
            <w:tcW w:w="665"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724"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1057"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969" w:type="dxa"/>
            <w:vMerge/>
            <w:tcBorders>
              <w:left w:val="single" w:sz="4" w:space="0" w:color="000000"/>
              <w:bottom w:val="single" w:sz="4" w:space="0" w:color="000000"/>
              <w:right w:val="single" w:sz="4" w:space="0" w:color="000000"/>
            </w:tcBorders>
            <w:vAlign w:val="center"/>
          </w:tcPr>
          <w:p w:rsidR="00AA645C" w:rsidRDefault="00AA645C" w:rsidP="002F3537">
            <w:pPr>
              <w:jc w:val="center"/>
              <w:rPr>
                <w:rFonts w:ascii="宋体" w:hAnsi="宋体" w:cs="宋体"/>
                <w:color w:val="000000"/>
                <w:sz w:val="18"/>
                <w:szCs w:val="18"/>
              </w:rPr>
            </w:pPr>
          </w:p>
        </w:tc>
        <w:tc>
          <w:tcPr>
            <w:tcW w:w="5857" w:type="dxa"/>
            <w:tcBorders>
              <w:top w:val="single" w:sz="4" w:space="0" w:color="000000"/>
              <w:left w:val="single" w:sz="4" w:space="0" w:color="000000"/>
              <w:bottom w:val="single" w:sz="4" w:space="0" w:color="000000"/>
              <w:right w:val="single" w:sz="4" w:space="0" w:color="000000"/>
            </w:tcBorders>
            <w:vAlign w:val="center"/>
          </w:tcPr>
          <w:p w:rsidR="00AA645C" w:rsidRDefault="00AA645C" w:rsidP="002F353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1、按照财务法律法规的规定，制定公司内部财务管理办法及会计制度。</w:t>
            </w:r>
            <w:r>
              <w:rPr>
                <w:rFonts w:ascii="宋体" w:hAnsi="宋体" w:cs="宋体" w:hint="eastAsia"/>
                <w:color w:val="000000"/>
                <w:kern w:val="0"/>
                <w:sz w:val="18"/>
                <w:szCs w:val="18"/>
              </w:rPr>
              <w:br/>
              <w:t>2、筹集投资资金，做好集团财务计划，做好财务（凭证、账簿、报表、档案）的分类，做到日清日结。</w:t>
            </w:r>
            <w:r>
              <w:rPr>
                <w:rFonts w:ascii="宋体" w:hAnsi="宋体" w:cs="宋体" w:hint="eastAsia"/>
                <w:color w:val="000000"/>
                <w:kern w:val="0"/>
                <w:sz w:val="18"/>
                <w:szCs w:val="18"/>
              </w:rPr>
              <w:br/>
              <w:t>3、负责定期对公司财务状况进行分析，会同各部室提出经营中经济风险预警控制措施，并向集团主要领导提交公司财务分析报告。</w:t>
            </w:r>
            <w:r>
              <w:rPr>
                <w:rFonts w:ascii="宋体" w:hAnsi="宋体" w:cs="宋体" w:hint="eastAsia"/>
                <w:color w:val="000000"/>
                <w:kern w:val="0"/>
                <w:sz w:val="18"/>
                <w:szCs w:val="18"/>
              </w:rPr>
              <w:br/>
              <w:t>4、负责办理现金收付，银行结算，换汇业务，办理公司各项税务的交纳工作。</w:t>
            </w:r>
            <w:r>
              <w:rPr>
                <w:rFonts w:ascii="宋体" w:hAnsi="宋体" w:cs="宋体" w:hint="eastAsia"/>
                <w:color w:val="000000"/>
                <w:kern w:val="0"/>
                <w:sz w:val="18"/>
                <w:szCs w:val="18"/>
              </w:rPr>
              <w:br/>
              <w:t>5、负责根据公司发展规划，编制年度财务预算。</w:t>
            </w:r>
            <w:r>
              <w:rPr>
                <w:rFonts w:ascii="宋体" w:hAnsi="宋体" w:cs="宋体" w:hint="eastAsia"/>
                <w:color w:val="000000"/>
                <w:kern w:val="0"/>
                <w:sz w:val="18"/>
                <w:szCs w:val="18"/>
              </w:rPr>
              <w:br/>
              <w:t xml:space="preserve">6、负责对公司各项成本，规定核算办法进行核算，加强对各项成本的控制。 </w:t>
            </w:r>
          </w:p>
        </w:tc>
      </w:tr>
    </w:tbl>
    <w:p w:rsidR="00943347" w:rsidRDefault="00943347"/>
    <w:sectPr w:rsidR="00943347" w:rsidSect="00AA64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45C"/>
    <w:rsid w:val="00791183"/>
    <w:rsid w:val="00943347"/>
    <w:rsid w:val="00AA645C"/>
    <w:rsid w:val="00F76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91183"/>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791183"/>
    <w:rPr>
      <w:rFonts w:asciiTheme="majorHAnsi" w:eastAsia="宋体" w:hAnsiTheme="majorHAnsi" w:cstheme="majorBidi"/>
      <w:b/>
      <w:bCs/>
      <w:kern w:val="28"/>
      <w:sz w:val="32"/>
      <w:szCs w:val="32"/>
    </w:rPr>
  </w:style>
  <w:style w:type="character" w:styleId="a4">
    <w:name w:val="Subtle Emphasis"/>
    <w:basedOn w:val="a0"/>
    <w:uiPriority w:val="19"/>
    <w:qFormat/>
    <w:rsid w:val="007911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2020-01-17T02:26:00Z</dcterms:created>
  <dcterms:modified xsi:type="dcterms:W3CDTF">2020-01-17T02:27:00Z</dcterms:modified>
</cp:coreProperties>
</file>